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8C" w:rsidRPr="00EF1C36" w:rsidRDefault="00DA7839" w:rsidP="003D398C">
      <w:pPr>
        <w:pStyle w:val="Ttulo1"/>
        <w:rPr>
          <w:rFonts w:ascii="Arial" w:hAnsi="Arial" w:cs="Arial"/>
          <w:lang w:val="en-US"/>
        </w:rPr>
      </w:pPr>
      <w:r w:rsidRPr="00EF1C36">
        <w:rPr>
          <w:rFonts w:ascii="Arial" w:hAnsi="Arial" w:cs="Arial"/>
          <w:lang w:val="en-US"/>
        </w:rPr>
        <w:t>M</w:t>
      </w:r>
      <w:r w:rsidR="003D398C" w:rsidRPr="00EF1C36">
        <w:rPr>
          <w:rFonts w:ascii="Arial" w:hAnsi="Arial" w:cs="Arial"/>
          <w:lang w:val="en-US"/>
        </w:rPr>
        <w:t>inutes of meeting</w:t>
      </w:r>
    </w:p>
    <w:p w:rsidR="00FA6E20" w:rsidRPr="00FA6E20" w:rsidRDefault="00DC53BF" w:rsidP="00FA6E20">
      <w:pPr>
        <w:spacing w:after="0"/>
        <w:rPr>
          <w:b/>
          <w:lang w:val="en-US"/>
        </w:rPr>
      </w:pPr>
      <w:r>
        <w:rPr>
          <w:b/>
          <w:lang w:val="en-US"/>
        </w:rPr>
        <w:t>3</w:t>
      </w:r>
      <w:r w:rsidRPr="00DC53BF">
        <w:rPr>
          <w:b/>
          <w:vertAlign w:val="superscript"/>
          <w:lang w:val="en-US"/>
        </w:rPr>
        <w:t>rd</w:t>
      </w:r>
      <w:r w:rsidR="003A7227">
        <w:rPr>
          <w:b/>
          <w:lang w:val="en-US"/>
        </w:rPr>
        <w:t xml:space="preserve"> M</w:t>
      </w:r>
      <w:r>
        <w:rPr>
          <w:b/>
          <w:lang w:val="en-US"/>
        </w:rPr>
        <w:t>eeting</w:t>
      </w:r>
      <w:r w:rsidR="003A7227">
        <w:rPr>
          <w:b/>
          <w:lang w:val="en-US"/>
        </w:rPr>
        <w:t xml:space="preserve"> of WOC 1</w:t>
      </w:r>
      <w:r>
        <w:rPr>
          <w:b/>
          <w:lang w:val="en-US"/>
        </w:rPr>
        <w:t xml:space="preserve">, </w:t>
      </w:r>
      <w:r w:rsidR="003A7227">
        <w:rPr>
          <w:b/>
          <w:lang w:val="en-US"/>
        </w:rPr>
        <w:t xml:space="preserve">Triennium </w:t>
      </w:r>
      <w:r w:rsidR="003D398C" w:rsidRPr="00FA6E20">
        <w:rPr>
          <w:b/>
          <w:lang w:val="en-US"/>
        </w:rPr>
        <w:t>2012-2015</w:t>
      </w:r>
    </w:p>
    <w:p w:rsidR="00FA6E20" w:rsidRDefault="003F4DAF" w:rsidP="003D398C">
      <w:pPr>
        <w:rPr>
          <w:lang w:val="en-US"/>
        </w:rPr>
      </w:pPr>
      <w:proofErr w:type="spellStart"/>
      <w:r>
        <w:rPr>
          <w:lang w:val="en-US"/>
        </w:rPr>
        <w:t>Tanjung</w:t>
      </w:r>
      <w:proofErr w:type="spellEnd"/>
      <w:r>
        <w:rPr>
          <w:lang w:val="en-US"/>
        </w:rPr>
        <w:t xml:space="preserve"> </w:t>
      </w:r>
      <w:proofErr w:type="spellStart"/>
      <w:r>
        <w:rPr>
          <w:lang w:val="en-US"/>
        </w:rPr>
        <w:t>Aru</w:t>
      </w:r>
      <w:proofErr w:type="spellEnd"/>
      <w:r>
        <w:rPr>
          <w:lang w:val="en-US"/>
        </w:rPr>
        <w:t xml:space="preserve"> Resort &amp; Spa, Kota </w:t>
      </w:r>
      <w:proofErr w:type="spellStart"/>
      <w:r>
        <w:rPr>
          <w:lang w:val="en-US"/>
        </w:rPr>
        <w:t>Kinabalu</w:t>
      </w:r>
      <w:proofErr w:type="spellEnd"/>
      <w:r w:rsidR="00FA6E20">
        <w:rPr>
          <w:lang w:val="en-US"/>
        </w:rPr>
        <w:t xml:space="preserve">, </w:t>
      </w:r>
      <w:r>
        <w:rPr>
          <w:lang w:val="en-US"/>
        </w:rPr>
        <w:t>4</w:t>
      </w:r>
      <w:r w:rsidR="00FA6E20">
        <w:rPr>
          <w:lang w:val="en-US"/>
        </w:rPr>
        <w:t>-</w:t>
      </w:r>
      <w:r>
        <w:rPr>
          <w:lang w:val="en-US"/>
        </w:rPr>
        <w:t>7</w:t>
      </w:r>
      <w:r w:rsidR="00FA6E20">
        <w:rPr>
          <w:lang w:val="en-US"/>
        </w:rPr>
        <w:t xml:space="preserve"> </w:t>
      </w:r>
      <w:r>
        <w:rPr>
          <w:lang w:val="en-US"/>
        </w:rPr>
        <w:t>September</w:t>
      </w:r>
      <w:r w:rsidR="00FA6E20">
        <w:rPr>
          <w:lang w:val="en-US"/>
        </w:rPr>
        <w:t xml:space="preserve"> 2013</w:t>
      </w:r>
    </w:p>
    <w:p w:rsidR="00EF1C36" w:rsidRDefault="000560EC" w:rsidP="00EF1C36">
      <w:pPr>
        <w:pStyle w:val="Ttulo1"/>
        <w:numPr>
          <w:ilvl w:val="0"/>
          <w:numId w:val="1"/>
        </w:numPr>
        <w:rPr>
          <w:lang w:val="en-US"/>
        </w:rPr>
      </w:pPr>
      <w:r>
        <w:rPr>
          <w:lang w:val="en-US"/>
        </w:rPr>
        <w:t>Attendance</w:t>
      </w:r>
    </w:p>
    <w:p w:rsidR="001D7724" w:rsidRDefault="00155C8E" w:rsidP="00517882">
      <w:pPr>
        <w:ind w:firstLine="708"/>
        <w:rPr>
          <w:lang w:val="en-US"/>
        </w:rPr>
      </w:pPr>
      <w:r>
        <w:rPr>
          <w:lang w:val="en-US"/>
        </w:rPr>
        <w:t xml:space="preserve">A total of </w:t>
      </w:r>
      <w:r w:rsidR="00651DA5">
        <w:rPr>
          <w:lang w:val="en-US"/>
        </w:rPr>
        <w:t>6</w:t>
      </w:r>
      <w:r w:rsidR="00B978DD">
        <w:rPr>
          <w:lang w:val="en-US"/>
        </w:rPr>
        <w:t>2</w:t>
      </w:r>
      <w:r w:rsidR="00C840F0">
        <w:rPr>
          <w:lang w:val="en-US"/>
        </w:rPr>
        <w:t xml:space="preserve"> IGU</w:t>
      </w:r>
      <w:r w:rsidR="009A38CB">
        <w:rPr>
          <w:lang w:val="en-US"/>
        </w:rPr>
        <w:t xml:space="preserve"> </w:t>
      </w:r>
      <w:r w:rsidR="005763C7">
        <w:rPr>
          <w:lang w:val="en-US"/>
        </w:rPr>
        <w:t xml:space="preserve">authorities, </w:t>
      </w:r>
      <w:r w:rsidR="009A38CB">
        <w:rPr>
          <w:lang w:val="en-US"/>
        </w:rPr>
        <w:t>delegates</w:t>
      </w:r>
      <w:r w:rsidR="001A016B">
        <w:rPr>
          <w:lang w:val="en-US"/>
        </w:rPr>
        <w:t xml:space="preserve"> and </w:t>
      </w:r>
      <w:r w:rsidR="005763C7">
        <w:rPr>
          <w:lang w:val="en-US"/>
        </w:rPr>
        <w:t>guests</w:t>
      </w:r>
      <w:r w:rsidR="009A38CB">
        <w:rPr>
          <w:lang w:val="en-US"/>
        </w:rPr>
        <w:t xml:space="preserve"> </w:t>
      </w:r>
      <w:r w:rsidR="00602066">
        <w:rPr>
          <w:lang w:val="en-US"/>
        </w:rPr>
        <w:t>attended this meeting</w:t>
      </w:r>
      <w:r w:rsidR="001A016B">
        <w:rPr>
          <w:lang w:val="en-US"/>
        </w:rPr>
        <w:t>,</w:t>
      </w:r>
      <w:r w:rsidR="00C313B0">
        <w:rPr>
          <w:lang w:val="en-US"/>
        </w:rPr>
        <w:t xml:space="preserve"> </w:t>
      </w:r>
      <w:r w:rsidR="005763C7">
        <w:rPr>
          <w:lang w:val="en-US"/>
        </w:rPr>
        <w:t xml:space="preserve">which was held in conjunction with PGC A, </w:t>
      </w:r>
      <w:r w:rsidR="00C313B0">
        <w:rPr>
          <w:lang w:val="en-US"/>
        </w:rPr>
        <w:t xml:space="preserve">including </w:t>
      </w:r>
      <w:r w:rsidR="00651DA5">
        <w:rPr>
          <w:lang w:val="en-US"/>
        </w:rPr>
        <w:t xml:space="preserve">the Secretary General of the IGU, Mr. Torstein </w:t>
      </w:r>
      <w:proofErr w:type="spellStart"/>
      <w:r w:rsidR="00651DA5">
        <w:rPr>
          <w:lang w:val="en-US"/>
        </w:rPr>
        <w:t>Indrebo</w:t>
      </w:r>
      <w:proofErr w:type="spellEnd"/>
      <w:r w:rsidR="00651DA5">
        <w:rPr>
          <w:lang w:val="en-US"/>
        </w:rPr>
        <w:t xml:space="preserve">, </w:t>
      </w:r>
      <w:r w:rsidR="00C313B0">
        <w:rPr>
          <w:lang w:val="en-US"/>
        </w:rPr>
        <w:t>the former</w:t>
      </w:r>
      <w:r w:rsidR="00602066">
        <w:rPr>
          <w:lang w:val="en-US"/>
        </w:rPr>
        <w:t xml:space="preserve"> President</w:t>
      </w:r>
      <w:r w:rsidR="00C313B0">
        <w:rPr>
          <w:lang w:val="en-US"/>
        </w:rPr>
        <w:t xml:space="preserve"> of the IGU, </w:t>
      </w:r>
      <w:proofErr w:type="spellStart"/>
      <w:r w:rsidR="00C313B0">
        <w:rPr>
          <w:lang w:val="en-US"/>
        </w:rPr>
        <w:t>D</w:t>
      </w:r>
      <w:r w:rsidR="00DA032A">
        <w:rPr>
          <w:lang w:val="en-US"/>
        </w:rPr>
        <w:t>atuk</w:t>
      </w:r>
      <w:proofErr w:type="spellEnd"/>
      <w:r w:rsidR="00DA032A">
        <w:rPr>
          <w:lang w:val="en-US"/>
        </w:rPr>
        <w:t xml:space="preserve"> Ir. Abdul</w:t>
      </w:r>
      <w:r w:rsidR="00C313B0">
        <w:rPr>
          <w:lang w:val="en-US"/>
        </w:rPr>
        <w:t xml:space="preserve"> Rahim </w:t>
      </w:r>
      <w:proofErr w:type="spellStart"/>
      <w:r w:rsidR="00C313B0">
        <w:rPr>
          <w:lang w:val="en-US"/>
        </w:rPr>
        <w:t>Hashim</w:t>
      </w:r>
      <w:proofErr w:type="spellEnd"/>
      <w:r w:rsidR="00C313B0">
        <w:rPr>
          <w:lang w:val="en-US"/>
        </w:rPr>
        <w:t>,</w:t>
      </w:r>
      <w:r w:rsidR="00602066">
        <w:rPr>
          <w:lang w:val="en-US"/>
        </w:rPr>
        <w:t xml:space="preserve"> the</w:t>
      </w:r>
      <w:r w:rsidR="00C313B0">
        <w:rPr>
          <w:lang w:val="en-US"/>
        </w:rPr>
        <w:t xml:space="preserve"> former</w:t>
      </w:r>
      <w:r w:rsidR="00602066">
        <w:rPr>
          <w:lang w:val="en-US"/>
        </w:rPr>
        <w:t xml:space="preserve"> Chairman of the Coordination Committee</w:t>
      </w:r>
      <w:r w:rsidR="001A016B">
        <w:rPr>
          <w:lang w:val="en-US"/>
        </w:rPr>
        <w:t xml:space="preserve">, </w:t>
      </w:r>
      <w:r w:rsidR="00C313B0">
        <w:rPr>
          <w:lang w:val="en-US"/>
        </w:rPr>
        <w:t xml:space="preserve">Mr. Ho </w:t>
      </w:r>
      <w:proofErr w:type="spellStart"/>
      <w:r w:rsidR="00C313B0">
        <w:rPr>
          <w:lang w:val="en-US"/>
        </w:rPr>
        <w:t>Sook</w:t>
      </w:r>
      <w:proofErr w:type="spellEnd"/>
      <w:r w:rsidR="00C313B0">
        <w:rPr>
          <w:lang w:val="en-US"/>
        </w:rPr>
        <w:t xml:space="preserve"> </w:t>
      </w:r>
      <w:proofErr w:type="spellStart"/>
      <w:r w:rsidR="00C313B0">
        <w:rPr>
          <w:lang w:val="en-US"/>
        </w:rPr>
        <w:t>Wah</w:t>
      </w:r>
      <w:proofErr w:type="spellEnd"/>
      <w:r w:rsidR="00C313B0">
        <w:rPr>
          <w:lang w:val="en-US"/>
        </w:rPr>
        <w:t xml:space="preserve">, </w:t>
      </w:r>
      <w:r w:rsidR="001A016B">
        <w:rPr>
          <w:lang w:val="en-US"/>
        </w:rPr>
        <w:t xml:space="preserve">the Secretary of the Coordination Committee, Mr. Yves </w:t>
      </w:r>
      <w:proofErr w:type="spellStart"/>
      <w:r w:rsidR="001A016B">
        <w:rPr>
          <w:lang w:val="en-US"/>
        </w:rPr>
        <w:t>Tournie</w:t>
      </w:r>
      <w:proofErr w:type="spellEnd"/>
      <w:r>
        <w:rPr>
          <w:lang w:val="en-US"/>
        </w:rPr>
        <w:t xml:space="preserve">, </w:t>
      </w:r>
      <w:r w:rsidR="00C313B0">
        <w:rPr>
          <w:lang w:val="en-US"/>
        </w:rPr>
        <w:t xml:space="preserve">the </w:t>
      </w:r>
      <w:r w:rsidR="00A779D5">
        <w:rPr>
          <w:lang w:val="en-US"/>
        </w:rPr>
        <w:t xml:space="preserve">Deputy Chief Minister and </w:t>
      </w:r>
      <w:r w:rsidR="00C313B0">
        <w:rPr>
          <w:lang w:val="en-US"/>
        </w:rPr>
        <w:t>Minister of Industry of Sabah, Mr.</w:t>
      </w:r>
      <w:r w:rsidR="00A779D5">
        <w:rPr>
          <w:lang w:val="en-US"/>
        </w:rPr>
        <w:t xml:space="preserve"> </w:t>
      </w:r>
      <w:proofErr w:type="spellStart"/>
      <w:r w:rsidR="00A779D5">
        <w:rPr>
          <w:lang w:val="en-US"/>
        </w:rPr>
        <w:t>Datuk</w:t>
      </w:r>
      <w:proofErr w:type="spellEnd"/>
      <w:r w:rsidR="00A779D5">
        <w:rPr>
          <w:lang w:val="en-US"/>
        </w:rPr>
        <w:t xml:space="preserve"> Raymond Tan</w:t>
      </w:r>
      <w:r w:rsidR="00651DA5">
        <w:rPr>
          <w:lang w:val="en-US"/>
        </w:rPr>
        <w:t>, the Deputy CEO of Sabah Energy Corporation, Mr. Christopher Ng</w:t>
      </w:r>
      <w:r w:rsidR="00C313B0">
        <w:rPr>
          <w:lang w:val="en-US"/>
        </w:rPr>
        <w:t>,</w:t>
      </w:r>
      <w:r w:rsidR="00DA032A">
        <w:rPr>
          <w:lang w:val="en-US"/>
        </w:rPr>
        <w:t xml:space="preserve"> the President of the Malaysian Gas Association, Ir. </w:t>
      </w:r>
      <w:proofErr w:type="spellStart"/>
      <w:r w:rsidR="00DA032A">
        <w:rPr>
          <w:lang w:val="en-US"/>
        </w:rPr>
        <w:t>Pramod</w:t>
      </w:r>
      <w:proofErr w:type="spellEnd"/>
      <w:r w:rsidR="00DA032A">
        <w:rPr>
          <w:lang w:val="en-US"/>
        </w:rPr>
        <w:t xml:space="preserve"> Kumar </w:t>
      </w:r>
      <w:proofErr w:type="spellStart"/>
      <w:r w:rsidR="00DA032A">
        <w:rPr>
          <w:lang w:val="en-US"/>
        </w:rPr>
        <w:t>Karunakan</w:t>
      </w:r>
      <w:proofErr w:type="spellEnd"/>
      <w:r w:rsidR="00DA032A">
        <w:rPr>
          <w:lang w:val="en-US"/>
        </w:rPr>
        <w:t>,</w:t>
      </w:r>
      <w:r w:rsidR="00C313B0">
        <w:rPr>
          <w:lang w:val="en-US"/>
        </w:rPr>
        <w:t xml:space="preserve"> </w:t>
      </w:r>
      <w:r>
        <w:rPr>
          <w:lang w:val="en-US"/>
        </w:rPr>
        <w:t>2</w:t>
      </w:r>
      <w:r w:rsidR="001A016B">
        <w:rPr>
          <w:lang w:val="en-US"/>
        </w:rPr>
        <w:t>7 members</w:t>
      </w:r>
      <w:r w:rsidR="00C92B88">
        <w:rPr>
          <w:lang w:val="en-US"/>
        </w:rPr>
        <w:t xml:space="preserve"> and one guest</w:t>
      </w:r>
      <w:r>
        <w:rPr>
          <w:lang w:val="en-US"/>
        </w:rPr>
        <w:t xml:space="preserve"> </w:t>
      </w:r>
      <w:r w:rsidR="001A016B">
        <w:rPr>
          <w:lang w:val="en-US"/>
        </w:rPr>
        <w:t>of</w:t>
      </w:r>
      <w:r w:rsidR="00C92B88">
        <w:rPr>
          <w:lang w:val="en-US"/>
        </w:rPr>
        <w:t xml:space="preserve"> WOC </w:t>
      </w:r>
      <w:r>
        <w:rPr>
          <w:lang w:val="en-US"/>
        </w:rPr>
        <w:t>1</w:t>
      </w:r>
      <w:r w:rsidR="00755977">
        <w:rPr>
          <w:lang w:val="en-US"/>
        </w:rPr>
        <w:t>, 2</w:t>
      </w:r>
      <w:r w:rsidR="001A016B">
        <w:rPr>
          <w:lang w:val="en-US"/>
        </w:rPr>
        <w:t>6</w:t>
      </w:r>
      <w:r w:rsidR="00755977">
        <w:rPr>
          <w:lang w:val="en-US"/>
        </w:rPr>
        <w:t xml:space="preserve"> </w:t>
      </w:r>
      <w:r w:rsidR="001A016B">
        <w:rPr>
          <w:lang w:val="en-US"/>
        </w:rPr>
        <w:t>members of</w:t>
      </w:r>
      <w:r w:rsidR="00755977">
        <w:rPr>
          <w:lang w:val="en-US"/>
        </w:rPr>
        <w:t xml:space="preserve"> PGC A</w:t>
      </w:r>
      <w:r w:rsidR="001A016B">
        <w:rPr>
          <w:lang w:val="en-US"/>
        </w:rPr>
        <w:t xml:space="preserve"> </w:t>
      </w:r>
      <w:r w:rsidR="00C313B0">
        <w:rPr>
          <w:lang w:val="en-US"/>
        </w:rPr>
        <w:t xml:space="preserve">and </w:t>
      </w:r>
      <w:r w:rsidR="001A016B">
        <w:rPr>
          <w:lang w:val="en-US"/>
        </w:rPr>
        <w:t>one member of WOC 5</w:t>
      </w:r>
      <w:r w:rsidR="00517882">
        <w:rPr>
          <w:lang w:val="en-US"/>
        </w:rPr>
        <w:t xml:space="preserve"> (</w:t>
      </w:r>
      <w:r w:rsidR="00517882">
        <w:rPr>
          <w:lang w:val="en-US"/>
        </w:rPr>
        <w:fldChar w:fldCharType="begin"/>
      </w:r>
      <w:r w:rsidR="00517882">
        <w:rPr>
          <w:lang w:val="en-US"/>
        </w:rPr>
        <w:instrText xml:space="preserve"> REF _Ref349650176 \h </w:instrText>
      </w:r>
      <w:r w:rsidR="00517882">
        <w:rPr>
          <w:lang w:val="en-US"/>
        </w:rPr>
      </w:r>
      <w:r w:rsidR="00517882">
        <w:rPr>
          <w:lang w:val="en-US"/>
        </w:rPr>
        <w:fldChar w:fldCharType="separate"/>
      </w:r>
      <w:r w:rsidR="00DA032A" w:rsidRPr="003D398C">
        <w:rPr>
          <w:lang w:val="en-GB"/>
        </w:rPr>
        <w:t xml:space="preserve">Table </w:t>
      </w:r>
      <w:r w:rsidR="00DA032A">
        <w:rPr>
          <w:noProof/>
          <w:lang w:val="en-GB"/>
        </w:rPr>
        <w:t>1</w:t>
      </w:r>
      <w:r w:rsidR="00517882">
        <w:rPr>
          <w:lang w:val="en-US"/>
        </w:rPr>
        <w:fldChar w:fldCharType="end"/>
      </w:r>
      <w:r w:rsidR="00517882">
        <w:rPr>
          <w:lang w:val="en-US"/>
        </w:rPr>
        <w:t>)</w:t>
      </w:r>
      <w:r w:rsidR="00C840F0">
        <w:rPr>
          <w:lang w:val="en-US"/>
        </w:rPr>
        <w:t>.</w:t>
      </w:r>
      <w:r w:rsidR="00EF1C36">
        <w:rPr>
          <w:lang w:val="en-US"/>
        </w:rPr>
        <w:t xml:space="preserve"> </w:t>
      </w:r>
    </w:p>
    <w:p w:rsidR="003D398C" w:rsidRPr="003D398C" w:rsidRDefault="003D398C" w:rsidP="00127330">
      <w:pPr>
        <w:pStyle w:val="Legenda"/>
        <w:keepNext/>
        <w:jc w:val="center"/>
        <w:rPr>
          <w:lang w:val="en-GB"/>
        </w:rPr>
      </w:pPr>
      <w:bookmarkStart w:id="0" w:name="_Ref349650176"/>
      <w:proofErr w:type="gramStart"/>
      <w:r w:rsidRPr="003D398C">
        <w:rPr>
          <w:lang w:val="en-GB"/>
        </w:rPr>
        <w:lastRenderedPageBreak/>
        <w:t xml:space="preserve">Table </w:t>
      </w:r>
      <w:proofErr w:type="gramEnd"/>
      <w:r w:rsidR="00EE157A">
        <w:rPr>
          <w:lang w:val="en-GB"/>
        </w:rPr>
        <w:fldChar w:fldCharType="begin"/>
      </w:r>
      <w:r w:rsidR="00EE157A">
        <w:rPr>
          <w:lang w:val="en-GB"/>
        </w:rPr>
        <w:instrText xml:space="preserve"> SEQ Table \* ARABIC </w:instrText>
      </w:r>
      <w:r w:rsidR="00EE157A">
        <w:rPr>
          <w:lang w:val="en-GB"/>
        </w:rPr>
        <w:fldChar w:fldCharType="separate"/>
      </w:r>
      <w:r w:rsidR="00DA032A">
        <w:rPr>
          <w:noProof/>
          <w:lang w:val="en-GB"/>
        </w:rPr>
        <w:t>1</w:t>
      </w:r>
      <w:r w:rsidR="00EE157A">
        <w:rPr>
          <w:lang w:val="en-GB"/>
        </w:rPr>
        <w:fldChar w:fldCharType="end"/>
      </w:r>
      <w:bookmarkEnd w:id="0"/>
      <w:proofErr w:type="gramStart"/>
      <w:r w:rsidRPr="003D398C">
        <w:rPr>
          <w:lang w:val="en-GB"/>
        </w:rPr>
        <w:t>.</w:t>
      </w:r>
      <w:proofErr w:type="gramEnd"/>
      <w:r w:rsidRPr="003D398C">
        <w:rPr>
          <w:lang w:val="en-GB"/>
        </w:rPr>
        <w:t xml:space="preserve"> </w:t>
      </w:r>
      <w:proofErr w:type="gramStart"/>
      <w:r w:rsidR="00127330">
        <w:rPr>
          <w:lang w:val="en-GB"/>
        </w:rPr>
        <w:t>Attendees from WOC 1</w:t>
      </w:r>
      <w:r w:rsidRPr="003D398C">
        <w:rPr>
          <w:lang w:val="en-GB"/>
        </w:rPr>
        <w:t>.</w:t>
      </w:r>
      <w:proofErr w:type="gramEnd"/>
    </w:p>
    <w:p w:rsidR="003D398C" w:rsidRDefault="00DC53BF" w:rsidP="00EF1C36">
      <w:pPr>
        <w:jc w:val="center"/>
        <w:rPr>
          <w:lang w:val="en-US"/>
        </w:rPr>
      </w:pPr>
      <w:r w:rsidRPr="00DC53BF">
        <w:rPr>
          <w:noProof/>
          <w:lang w:val="en-GB"/>
        </w:rPr>
        <w:drawing>
          <wp:inline distT="0" distB="0" distL="0" distR="0">
            <wp:extent cx="4219765" cy="4905375"/>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19" cy="4907298"/>
                    </a:xfrm>
                    <a:prstGeom prst="rect">
                      <a:avLst/>
                    </a:prstGeom>
                    <a:noFill/>
                    <a:ln>
                      <a:noFill/>
                    </a:ln>
                  </pic:spPr>
                </pic:pic>
              </a:graphicData>
            </a:graphic>
          </wp:inline>
        </w:drawing>
      </w:r>
    </w:p>
    <w:p w:rsidR="00517882" w:rsidRDefault="00910D44" w:rsidP="00517882">
      <w:pPr>
        <w:pStyle w:val="Ttulo1"/>
        <w:numPr>
          <w:ilvl w:val="0"/>
          <w:numId w:val="1"/>
        </w:numPr>
        <w:rPr>
          <w:lang w:val="en-US"/>
        </w:rPr>
      </w:pPr>
      <w:r>
        <w:rPr>
          <w:lang w:val="en-US"/>
        </w:rPr>
        <w:t>Joint plenary session</w:t>
      </w:r>
    </w:p>
    <w:p w:rsidR="00155C8E" w:rsidRDefault="00155C8E" w:rsidP="003A7227">
      <w:pPr>
        <w:ind w:firstLine="708"/>
        <w:rPr>
          <w:lang w:val="en-US"/>
        </w:rPr>
      </w:pPr>
      <w:r>
        <w:rPr>
          <w:lang w:val="en-US"/>
        </w:rPr>
        <w:t xml:space="preserve">After </w:t>
      </w:r>
      <w:r w:rsidR="00821FCA">
        <w:rPr>
          <w:lang w:val="en-US"/>
        </w:rPr>
        <w:t>the</w:t>
      </w:r>
      <w:r w:rsidR="003A7227">
        <w:rPr>
          <w:lang w:val="en-US"/>
        </w:rPr>
        <w:t xml:space="preserve"> safety briefing and greetings from</w:t>
      </w:r>
      <w:r>
        <w:rPr>
          <w:lang w:val="en-US"/>
        </w:rPr>
        <w:t xml:space="preserve"> the</w:t>
      </w:r>
      <w:r w:rsidR="003A7227">
        <w:rPr>
          <w:lang w:val="en-US"/>
        </w:rPr>
        <w:t xml:space="preserve"> host, followed by the welcome words of the c</w:t>
      </w:r>
      <w:r>
        <w:rPr>
          <w:lang w:val="en-US"/>
        </w:rPr>
        <w:t xml:space="preserve">hairmen of WOC 1 and PGC A, the meeting started with a series of </w:t>
      </w:r>
      <w:r w:rsidR="00821FCA">
        <w:rPr>
          <w:lang w:val="en-US"/>
        </w:rPr>
        <w:t>presentations performed by a number of IGU and local authorities</w:t>
      </w:r>
      <w:r>
        <w:rPr>
          <w:lang w:val="en-US"/>
        </w:rPr>
        <w:t>.</w:t>
      </w:r>
    </w:p>
    <w:p w:rsidR="003A7227" w:rsidRDefault="003A7227" w:rsidP="003A7227">
      <w:pPr>
        <w:ind w:firstLine="708"/>
        <w:rPr>
          <w:lang w:val="en-US"/>
        </w:rPr>
      </w:pPr>
      <w:r w:rsidRPr="00D05F46">
        <w:rPr>
          <w:b/>
          <w:lang w:val="en-US"/>
        </w:rPr>
        <w:lastRenderedPageBreak/>
        <w:t xml:space="preserve">Torstein </w:t>
      </w:r>
      <w:proofErr w:type="spellStart"/>
      <w:r w:rsidRPr="00D05F46">
        <w:rPr>
          <w:b/>
          <w:lang w:val="en-US"/>
        </w:rPr>
        <w:t>Indrebo</w:t>
      </w:r>
      <w:proofErr w:type="spellEnd"/>
      <w:r>
        <w:rPr>
          <w:lang w:val="en-US"/>
        </w:rPr>
        <w:t>,</w:t>
      </w:r>
      <w:r w:rsidR="00821FCA">
        <w:rPr>
          <w:lang w:val="en-US"/>
        </w:rPr>
        <w:t xml:space="preserve"> Secretary General of the IGU, presented the latest schedule for the </w:t>
      </w:r>
      <w:r w:rsidR="00071DF3">
        <w:rPr>
          <w:lang w:val="en-US"/>
        </w:rPr>
        <w:t xml:space="preserve">upcoming </w:t>
      </w:r>
      <w:r w:rsidR="00821FCA">
        <w:rPr>
          <w:lang w:val="en-US"/>
        </w:rPr>
        <w:t xml:space="preserve">IGU elections, including IGRC 2017, </w:t>
      </w:r>
      <w:r w:rsidR="00071DF3">
        <w:rPr>
          <w:lang w:val="en-US"/>
        </w:rPr>
        <w:t xml:space="preserve">Presidency 2018-2021, </w:t>
      </w:r>
      <w:r w:rsidR="00821FCA">
        <w:rPr>
          <w:lang w:val="en-US"/>
        </w:rPr>
        <w:t>Secretariat 2016</w:t>
      </w:r>
      <w:r w:rsidR="00071DF3">
        <w:rPr>
          <w:lang w:val="en-US"/>
        </w:rPr>
        <w:t>-2022</w:t>
      </w:r>
      <w:r w:rsidR="00821FCA">
        <w:rPr>
          <w:lang w:val="en-US"/>
        </w:rPr>
        <w:t xml:space="preserve"> and Committee Vice-Chairs 2018</w:t>
      </w:r>
      <w:r w:rsidR="00071DF3">
        <w:rPr>
          <w:lang w:val="en-US"/>
        </w:rPr>
        <w:t>-2021</w:t>
      </w:r>
      <w:r w:rsidR="00821FCA">
        <w:rPr>
          <w:lang w:val="en-US"/>
        </w:rPr>
        <w:t xml:space="preserve">. </w:t>
      </w:r>
      <w:r w:rsidR="00B40FC9">
        <w:rPr>
          <w:lang w:val="en-US"/>
        </w:rPr>
        <w:t>The first one</w:t>
      </w:r>
      <w:r w:rsidR="00821FCA">
        <w:rPr>
          <w:lang w:val="en-US"/>
        </w:rPr>
        <w:t xml:space="preserve"> will </w:t>
      </w:r>
      <w:r w:rsidR="00B40FC9">
        <w:rPr>
          <w:lang w:val="en-US"/>
        </w:rPr>
        <w:t>take place</w:t>
      </w:r>
      <w:r w:rsidR="00821FCA">
        <w:rPr>
          <w:lang w:val="en-US"/>
        </w:rPr>
        <w:t xml:space="preserve"> during the next Executive Committee</w:t>
      </w:r>
      <w:r w:rsidR="00B40FC9">
        <w:rPr>
          <w:lang w:val="en-US"/>
        </w:rPr>
        <w:t xml:space="preserve"> meeting</w:t>
      </w:r>
      <w:r w:rsidR="00821FCA">
        <w:rPr>
          <w:lang w:val="en-US"/>
        </w:rPr>
        <w:t xml:space="preserve"> i</w:t>
      </w:r>
      <w:r w:rsidR="00071DF3">
        <w:rPr>
          <w:lang w:val="en-US"/>
        </w:rPr>
        <w:t>n Beijing (October 2013)</w:t>
      </w:r>
      <w:r w:rsidR="00821FCA">
        <w:rPr>
          <w:lang w:val="en-US"/>
        </w:rPr>
        <w:t xml:space="preserve">, </w:t>
      </w:r>
      <w:r w:rsidR="00B40FC9">
        <w:rPr>
          <w:lang w:val="en-US"/>
        </w:rPr>
        <w:t>Brazil and Qatar being the candidates, while the remaining ones</w:t>
      </w:r>
      <w:r w:rsidR="00821FCA">
        <w:rPr>
          <w:lang w:val="en-US"/>
        </w:rPr>
        <w:t xml:space="preserve"> will </w:t>
      </w:r>
      <w:r w:rsidR="00B40FC9">
        <w:rPr>
          <w:lang w:val="en-US"/>
        </w:rPr>
        <w:t xml:space="preserve">be decided by the IGU Council in a meeting </w:t>
      </w:r>
      <w:r w:rsidR="00D82EFE">
        <w:rPr>
          <w:lang w:val="en-US"/>
        </w:rPr>
        <w:t>that will take place in</w:t>
      </w:r>
      <w:r w:rsidR="00B40FC9">
        <w:rPr>
          <w:lang w:val="en-US"/>
        </w:rPr>
        <w:t xml:space="preserve"> October 2014</w:t>
      </w:r>
      <w:r w:rsidR="00913081">
        <w:rPr>
          <w:lang w:val="en-US"/>
        </w:rPr>
        <w:t>,</w:t>
      </w:r>
      <w:r w:rsidR="00B40FC9">
        <w:rPr>
          <w:lang w:val="en-US"/>
        </w:rPr>
        <w:t xml:space="preserve"> in Berlin</w:t>
      </w:r>
      <w:r w:rsidR="00821FCA">
        <w:rPr>
          <w:lang w:val="en-US"/>
        </w:rPr>
        <w:t>.</w:t>
      </w:r>
      <w:r w:rsidR="00F9641A">
        <w:rPr>
          <w:lang w:val="en-US"/>
        </w:rPr>
        <w:t xml:space="preserve"> He also referred to the business environment of the industry, which has changed and now requires more focus on policies, regulations and communications.</w:t>
      </w:r>
    </w:p>
    <w:p w:rsidR="003A7227" w:rsidRDefault="003A7227" w:rsidP="003A7227">
      <w:pPr>
        <w:ind w:firstLine="708"/>
        <w:rPr>
          <w:lang w:val="en-US"/>
        </w:rPr>
      </w:pPr>
      <w:r w:rsidRPr="00D05F46">
        <w:rPr>
          <w:b/>
          <w:lang w:val="en-US"/>
        </w:rPr>
        <w:t xml:space="preserve">Yves </w:t>
      </w:r>
      <w:proofErr w:type="spellStart"/>
      <w:r w:rsidRPr="00D05F46">
        <w:rPr>
          <w:b/>
          <w:lang w:val="en-US"/>
        </w:rPr>
        <w:t>Tournie</w:t>
      </w:r>
      <w:proofErr w:type="spellEnd"/>
      <w:r w:rsidR="00F9641A">
        <w:rPr>
          <w:lang w:val="en-US"/>
        </w:rPr>
        <w:t xml:space="preserve">, Secretary of the Coordination Committee, called attention to the </w:t>
      </w:r>
      <w:r w:rsidR="005C73EF">
        <w:rPr>
          <w:lang w:val="en-US"/>
        </w:rPr>
        <w:t xml:space="preserve">number of </w:t>
      </w:r>
      <w:r w:rsidR="004102F8">
        <w:rPr>
          <w:lang w:val="en-US"/>
        </w:rPr>
        <w:t>representatives</w:t>
      </w:r>
      <w:r w:rsidR="00F9641A">
        <w:rPr>
          <w:lang w:val="en-US"/>
        </w:rPr>
        <w:t xml:space="preserve"> nominated by the IGU members </w:t>
      </w:r>
      <w:r w:rsidR="004102F8">
        <w:rPr>
          <w:lang w:val="en-US"/>
        </w:rPr>
        <w:t>to compose</w:t>
      </w:r>
      <w:r w:rsidR="00F9641A">
        <w:rPr>
          <w:lang w:val="en-US"/>
        </w:rPr>
        <w:t xml:space="preserve"> the many committees and task forces that constitute the</w:t>
      </w:r>
      <w:r w:rsidR="004102F8">
        <w:rPr>
          <w:lang w:val="en-US"/>
        </w:rPr>
        <w:t xml:space="preserve"> very</w:t>
      </w:r>
      <w:r w:rsidR="00F9641A">
        <w:rPr>
          <w:lang w:val="en-US"/>
        </w:rPr>
        <w:t xml:space="preserve"> heart of the IGU. The </w:t>
      </w:r>
      <w:r w:rsidR="004102F8">
        <w:rPr>
          <w:lang w:val="en-US"/>
        </w:rPr>
        <w:t>total</w:t>
      </w:r>
      <w:r w:rsidR="00F9641A">
        <w:rPr>
          <w:lang w:val="en-US"/>
        </w:rPr>
        <w:t xml:space="preserve"> is now </w:t>
      </w:r>
      <w:r w:rsidR="005C73EF">
        <w:rPr>
          <w:lang w:val="en-US"/>
        </w:rPr>
        <w:t>very</w:t>
      </w:r>
      <w:r w:rsidR="004102F8">
        <w:rPr>
          <w:lang w:val="en-US"/>
        </w:rPr>
        <w:t xml:space="preserve"> </w:t>
      </w:r>
      <w:r w:rsidR="00F9641A">
        <w:rPr>
          <w:lang w:val="en-US"/>
        </w:rPr>
        <w:t xml:space="preserve">close to 1,000 </w:t>
      </w:r>
      <w:r w:rsidR="004102F8">
        <w:rPr>
          <w:lang w:val="en-US"/>
        </w:rPr>
        <w:t>delegates</w:t>
      </w:r>
      <w:r w:rsidR="00F9641A">
        <w:rPr>
          <w:lang w:val="en-US"/>
        </w:rPr>
        <w:t xml:space="preserve"> from 60 countries</w:t>
      </w:r>
      <w:r w:rsidR="005C73EF">
        <w:rPr>
          <w:lang w:val="en-US"/>
        </w:rPr>
        <w:t>, which is an impressive result.</w:t>
      </w:r>
      <w:r w:rsidR="000C7D0C">
        <w:rPr>
          <w:lang w:val="en-US"/>
        </w:rPr>
        <w:t xml:space="preserve"> WOC 1 is supposed to organize two special panels</w:t>
      </w:r>
      <w:r w:rsidR="007237F8">
        <w:rPr>
          <w:lang w:val="en-US"/>
        </w:rPr>
        <w:t xml:space="preserve"> for the next WGC</w:t>
      </w:r>
      <w:r w:rsidR="000C7D0C">
        <w:rPr>
          <w:lang w:val="en-US"/>
        </w:rPr>
        <w:t>, one</w:t>
      </w:r>
      <w:r w:rsidR="007237F8">
        <w:rPr>
          <w:lang w:val="en-US"/>
        </w:rPr>
        <w:t xml:space="preserve"> of them</w:t>
      </w:r>
      <w:r w:rsidR="005C73EF">
        <w:rPr>
          <w:lang w:val="en-US"/>
        </w:rPr>
        <w:t xml:space="preserve"> </w:t>
      </w:r>
      <w:r w:rsidR="001F0B66">
        <w:rPr>
          <w:lang w:val="en-US"/>
        </w:rPr>
        <w:t>with the World Bank</w:t>
      </w:r>
      <w:r w:rsidR="000C7D0C">
        <w:rPr>
          <w:lang w:val="en-US"/>
        </w:rPr>
        <w:t xml:space="preserve"> on gas flaring reduction, </w:t>
      </w:r>
      <w:r w:rsidR="001F0B66">
        <w:rPr>
          <w:lang w:val="en-US"/>
        </w:rPr>
        <w:t>scheduled for Tuesday 2 June, 15:15-16:45</w:t>
      </w:r>
      <w:r w:rsidR="000C7D0C">
        <w:rPr>
          <w:lang w:val="en-US"/>
        </w:rPr>
        <w:t xml:space="preserve">, and </w:t>
      </w:r>
      <w:r w:rsidR="008B3917">
        <w:rPr>
          <w:lang w:val="en-US"/>
        </w:rPr>
        <w:t>another</w:t>
      </w:r>
      <w:r w:rsidR="007237F8">
        <w:rPr>
          <w:lang w:val="en-US"/>
        </w:rPr>
        <w:t xml:space="preserve"> one</w:t>
      </w:r>
      <w:r w:rsidR="000C7D0C">
        <w:rPr>
          <w:lang w:val="en-US"/>
        </w:rPr>
        <w:t xml:space="preserve"> </w:t>
      </w:r>
      <w:r w:rsidR="001F0B66">
        <w:rPr>
          <w:lang w:val="en-US"/>
        </w:rPr>
        <w:t xml:space="preserve">with PGC A </w:t>
      </w:r>
      <w:r w:rsidR="000C7D0C">
        <w:rPr>
          <w:lang w:val="en-US"/>
        </w:rPr>
        <w:t xml:space="preserve">on unconventional gas, </w:t>
      </w:r>
      <w:r w:rsidR="001F0B66">
        <w:rPr>
          <w:lang w:val="en-US"/>
        </w:rPr>
        <w:t>scheduled for Thursday 4 June, 15:15-16:45</w:t>
      </w:r>
      <w:r w:rsidR="000C7D0C">
        <w:rPr>
          <w:lang w:val="en-US"/>
        </w:rPr>
        <w:t>. In addition to that, th</w:t>
      </w:r>
      <w:r w:rsidR="005C73EF">
        <w:rPr>
          <w:lang w:val="en-US"/>
        </w:rPr>
        <w:t xml:space="preserve">e </w:t>
      </w:r>
      <w:r w:rsidR="000C7D0C">
        <w:rPr>
          <w:lang w:val="en-US"/>
        </w:rPr>
        <w:t xml:space="preserve">committee is expected to put together five committee sessions and expert </w:t>
      </w:r>
      <w:r w:rsidR="00913081">
        <w:rPr>
          <w:lang w:val="en-US"/>
        </w:rPr>
        <w:t>for a,</w:t>
      </w:r>
      <w:r w:rsidR="001F0B66">
        <w:rPr>
          <w:lang w:val="en-US"/>
        </w:rPr>
        <w:t xml:space="preserve"> from</w:t>
      </w:r>
      <w:r w:rsidR="005C73EF">
        <w:rPr>
          <w:lang w:val="en-US"/>
        </w:rPr>
        <w:t xml:space="preserve"> the morning of</w:t>
      </w:r>
      <w:r w:rsidR="001F0B66">
        <w:rPr>
          <w:lang w:val="en-US"/>
        </w:rPr>
        <w:t xml:space="preserve"> Wednesday 3 June to the morning of Friday 5 June</w:t>
      </w:r>
      <w:r w:rsidR="005C73EF">
        <w:rPr>
          <w:lang w:val="en-US"/>
        </w:rPr>
        <w:t xml:space="preserve"> (</w:t>
      </w:r>
      <w:r w:rsidR="00913081">
        <w:rPr>
          <w:lang w:val="en-US"/>
        </w:rPr>
        <w:t xml:space="preserve">sessions at </w:t>
      </w:r>
      <w:r w:rsidR="001F0B66">
        <w:rPr>
          <w:lang w:val="en-US"/>
        </w:rPr>
        <w:t>8:30-10:00 and 17:00-18:30</w:t>
      </w:r>
      <w:r w:rsidR="005C73EF">
        <w:rPr>
          <w:lang w:val="en-US"/>
        </w:rPr>
        <w:t>)</w:t>
      </w:r>
      <w:r w:rsidR="000C7D0C">
        <w:rPr>
          <w:lang w:val="en-US"/>
        </w:rPr>
        <w:t>.</w:t>
      </w:r>
      <w:r w:rsidR="000D1894">
        <w:rPr>
          <w:lang w:val="en-US"/>
        </w:rPr>
        <w:t xml:space="preserve"> </w:t>
      </w:r>
    </w:p>
    <w:p w:rsidR="00B604B5" w:rsidRDefault="003A7227" w:rsidP="003A7227">
      <w:pPr>
        <w:ind w:firstLine="708"/>
        <w:rPr>
          <w:lang w:val="en-US"/>
        </w:rPr>
      </w:pPr>
      <w:r w:rsidRPr="00D05F46">
        <w:rPr>
          <w:b/>
          <w:lang w:val="en-US"/>
        </w:rPr>
        <w:t xml:space="preserve">Ir. </w:t>
      </w:r>
      <w:proofErr w:type="spellStart"/>
      <w:r w:rsidRPr="00D05F46">
        <w:rPr>
          <w:b/>
          <w:lang w:val="en-US"/>
        </w:rPr>
        <w:t>Pramod</w:t>
      </w:r>
      <w:proofErr w:type="spellEnd"/>
      <w:r w:rsidRPr="00D05F46">
        <w:rPr>
          <w:b/>
          <w:lang w:val="en-US"/>
        </w:rPr>
        <w:t xml:space="preserve"> Kumar </w:t>
      </w:r>
      <w:proofErr w:type="spellStart"/>
      <w:r w:rsidRPr="00D05F46">
        <w:rPr>
          <w:b/>
          <w:lang w:val="en-US"/>
        </w:rPr>
        <w:t>Karunakaran</w:t>
      </w:r>
      <w:proofErr w:type="spellEnd"/>
      <w:r>
        <w:rPr>
          <w:lang w:val="en-US"/>
        </w:rPr>
        <w:t>,</w:t>
      </w:r>
      <w:r w:rsidR="00821FCA">
        <w:rPr>
          <w:lang w:val="en-US"/>
        </w:rPr>
        <w:t xml:space="preserve"> President of the </w:t>
      </w:r>
      <w:proofErr w:type="spellStart"/>
      <w:r w:rsidR="00821FCA">
        <w:rPr>
          <w:lang w:val="en-US"/>
        </w:rPr>
        <w:t>Malasyan</w:t>
      </w:r>
      <w:proofErr w:type="spellEnd"/>
      <w:r w:rsidR="00821FCA">
        <w:rPr>
          <w:lang w:val="en-US"/>
        </w:rPr>
        <w:t xml:space="preserve"> Gas Association (MGA),</w:t>
      </w:r>
      <w:r w:rsidR="00B604B5">
        <w:rPr>
          <w:lang w:val="en-US"/>
        </w:rPr>
        <w:t xml:space="preserve"> described the evolution of the gas infrastructure in Malaysia, from humble beginnings in the late 1970’s to an unprecedented growth in the late 1980’s. Today the challenge resides</w:t>
      </w:r>
      <w:r w:rsidR="003F0C09">
        <w:rPr>
          <w:lang w:val="en-US"/>
        </w:rPr>
        <w:t xml:space="preserve"> mostly</w:t>
      </w:r>
      <w:r w:rsidR="00B604B5">
        <w:rPr>
          <w:lang w:val="en-US"/>
        </w:rPr>
        <w:t xml:space="preserve"> in sustaining the supply</w:t>
      </w:r>
      <w:r w:rsidR="003F0C09">
        <w:rPr>
          <w:lang w:val="en-US"/>
        </w:rPr>
        <w:t xml:space="preserve">, as </w:t>
      </w:r>
      <w:r w:rsidR="00A83416">
        <w:rPr>
          <w:lang w:val="en-US"/>
        </w:rPr>
        <w:t xml:space="preserve">demand has increased </w:t>
      </w:r>
      <w:r w:rsidR="003F0C09">
        <w:rPr>
          <w:lang w:val="en-US"/>
        </w:rPr>
        <w:t>to nearly half of the primary energy mix</w:t>
      </w:r>
      <w:r w:rsidR="007A331E">
        <w:rPr>
          <w:lang w:val="en-US"/>
        </w:rPr>
        <w:t xml:space="preserve"> </w:t>
      </w:r>
      <w:r w:rsidR="00885C94">
        <w:rPr>
          <w:lang w:val="en-US"/>
        </w:rPr>
        <w:t>due to</w:t>
      </w:r>
      <w:r w:rsidR="007A331E">
        <w:rPr>
          <w:lang w:val="en-US"/>
        </w:rPr>
        <w:t xml:space="preserve"> regulated pric</w:t>
      </w:r>
      <w:r w:rsidR="00B922D6">
        <w:rPr>
          <w:lang w:val="en-US"/>
        </w:rPr>
        <w:t>e</w:t>
      </w:r>
      <w:r w:rsidR="00885C94">
        <w:rPr>
          <w:lang w:val="en-US"/>
        </w:rPr>
        <w:t xml:space="preserve"> caps</w:t>
      </w:r>
      <w:r w:rsidR="007A331E">
        <w:rPr>
          <w:lang w:val="en-US"/>
        </w:rPr>
        <w:t>. Mechanisms that encourage investment are now under discussion, and some n</w:t>
      </w:r>
      <w:r w:rsidR="003F0C09">
        <w:rPr>
          <w:lang w:val="en-US"/>
        </w:rPr>
        <w:t xml:space="preserve">ew LNG projects </w:t>
      </w:r>
      <w:r w:rsidR="007A331E">
        <w:rPr>
          <w:lang w:val="en-US"/>
        </w:rPr>
        <w:t>have been announced</w:t>
      </w:r>
      <w:r w:rsidR="003F0C09">
        <w:rPr>
          <w:lang w:val="en-US"/>
        </w:rPr>
        <w:t xml:space="preserve">, </w:t>
      </w:r>
      <w:r w:rsidR="00885C94">
        <w:rPr>
          <w:lang w:val="en-US"/>
        </w:rPr>
        <w:t xml:space="preserve">which </w:t>
      </w:r>
      <w:r w:rsidR="00D82EFE">
        <w:rPr>
          <w:lang w:val="en-US"/>
        </w:rPr>
        <w:t>are</w:t>
      </w:r>
      <w:r w:rsidR="007A331E">
        <w:rPr>
          <w:lang w:val="en-US"/>
        </w:rPr>
        <w:t xml:space="preserve"> expected to</w:t>
      </w:r>
      <w:r w:rsidR="003F0C09">
        <w:rPr>
          <w:lang w:val="en-US"/>
        </w:rPr>
        <w:t xml:space="preserve"> add 2.7 MTPA by the end of 2016</w:t>
      </w:r>
      <w:r w:rsidR="00885C94">
        <w:rPr>
          <w:lang w:val="en-US"/>
        </w:rPr>
        <w:t xml:space="preserve">, including two innovative floating units. </w:t>
      </w:r>
    </w:p>
    <w:p w:rsidR="003A7227" w:rsidRDefault="002F124A" w:rsidP="003A7227">
      <w:pPr>
        <w:ind w:firstLine="708"/>
        <w:rPr>
          <w:lang w:val="en-US"/>
        </w:rPr>
      </w:pPr>
      <w:r>
        <w:rPr>
          <w:lang w:val="en-US"/>
        </w:rPr>
        <w:t>T</w:t>
      </w:r>
      <w:r w:rsidR="00821FCA">
        <w:rPr>
          <w:lang w:val="en-US"/>
        </w:rPr>
        <w:t>he Immediate Past President of the IGU</w:t>
      </w:r>
      <w:r w:rsidR="003A7227">
        <w:rPr>
          <w:lang w:val="en-US"/>
        </w:rPr>
        <w:t xml:space="preserve">, </w:t>
      </w:r>
      <w:proofErr w:type="spellStart"/>
      <w:r w:rsidR="003A7227" w:rsidRPr="00D05F46">
        <w:rPr>
          <w:b/>
          <w:lang w:val="en-US"/>
        </w:rPr>
        <w:t>Datuk</w:t>
      </w:r>
      <w:proofErr w:type="spellEnd"/>
      <w:r w:rsidR="003A7227" w:rsidRPr="00D05F46">
        <w:rPr>
          <w:b/>
          <w:lang w:val="en-US"/>
        </w:rPr>
        <w:t xml:space="preserve"> Ir. Abdul Rahim </w:t>
      </w:r>
      <w:proofErr w:type="spellStart"/>
      <w:r w:rsidR="003A7227" w:rsidRPr="00D05F46">
        <w:rPr>
          <w:b/>
          <w:lang w:val="en-US"/>
        </w:rPr>
        <w:t>Hj</w:t>
      </w:r>
      <w:proofErr w:type="spellEnd"/>
      <w:r w:rsidR="003A7227" w:rsidRPr="00D05F46">
        <w:rPr>
          <w:b/>
          <w:lang w:val="en-US"/>
        </w:rPr>
        <w:t xml:space="preserve"> </w:t>
      </w:r>
      <w:proofErr w:type="spellStart"/>
      <w:r w:rsidR="003A7227" w:rsidRPr="00D05F46">
        <w:rPr>
          <w:b/>
          <w:lang w:val="en-US"/>
        </w:rPr>
        <w:t>Hashim</w:t>
      </w:r>
      <w:proofErr w:type="spellEnd"/>
      <w:r w:rsidR="003A7227">
        <w:rPr>
          <w:lang w:val="en-US"/>
        </w:rPr>
        <w:t>,</w:t>
      </w:r>
      <w:r>
        <w:rPr>
          <w:lang w:val="en-US"/>
        </w:rPr>
        <w:t xml:space="preserve"> described some of the </w:t>
      </w:r>
      <w:r w:rsidR="00903784">
        <w:rPr>
          <w:lang w:val="en-US"/>
        </w:rPr>
        <w:t xml:space="preserve">many </w:t>
      </w:r>
      <w:r>
        <w:rPr>
          <w:lang w:val="en-US"/>
        </w:rPr>
        <w:t xml:space="preserve">initiatives </w:t>
      </w:r>
      <w:r w:rsidR="00885C94">
        <w:rPr>
          <w:lang w:val="en-US"/>
        </w:rPr>
        <w:t>that</w:t>
      </w:r>
      <w:r>
        <w:rPr>
          <w:lang w:val="en-US"/>
        </w:rPr>
        <w:t xml:space="preserve"> </w:t>
      </w:r>
      <w:proofErr w:type="spellStart"/>
      <w:r>
        <w:rPr>
          <w:lang w:val="en-US"/>
        </w:rPr>
        <w:t>Petronas</w:t>
      </w:r>
      <w:proofErr w:type="spellEnd"/>
      <w:r w:rsidR="00885C94">
        <w:rPr>
          <w:lang w:val="en-US"/>
        </w:rPr>
        <w:t xml:space="preserve"> has developed</w:t>
      </w:r>
      <w:r w:rsidR="00DA032A" w:rsidRPr="00DA032A">
        <w:rPr>
          <w:lang w:val="en-US"/>
        </w:rPr>
        <w:t xml:space="preserve"> </w:t>
      </w:r>
      <w:r w:rsidR="00DA032A">
        <w:rPr>
          <w:lang w:val="en-US"/>
        </w:rPr>
        <w:t>under its sustainable deve</w:t>
      </w:r>
      <w:r w:rsidR="00DA032A">
        <w:rPr>
          <w:lang w:val="en-US"/>
        </w:rPr>
        <w:t>lopment policies for</w:t>
      </w:r>
      <w:r w:rsidR="00903784">
        <w:rPr>
          <w:lang w:val="en-US"/>
        </w:rPr>
        <w:t xml:space="preserve"> the areas of </w:t>
      </w:r>
      <w:r w:rsidR="00427FB3">
        <w:rPr>
          <w:lang w:val="en-US"/>
        </w:rPr>
        <w:t xml:space="preserve">product stewardship, </w:t>
      </w:r>
      <w:r w:rsidR="00E91F77">
        <w:rPr>
          <w:lang w:val="en-US"/>
        </w:rPr>
        <w:t xml:space="preserve">health, safety, </w:t>
      </w:r>
      <w:r w:rsidR="00903784">
        <w:rPr>
          <w:lang w:val="en-US"/>
        </w:rPr>
        <w:t xml:space="preserve">use of water and other </w:t>
      </w:r>
      <w:r w:rsidR="00427FB3">
        <w:rPr>
          <w:lang w:val="en-US"/>
        </w:rPr>
        <w:t>natural resources</w:t>
      </w:r>
      <w:r w:rsidR="00E91F77">
        <w:rPr>
          <w:lang w:val="en-US"/>
        </w:rPr>
        <w:t>.</w:t>
      </w:r>
      <w:r w:rsidR="00427FB3">
        <w:rPr>
          <w:lang w:val="en-US"/>
        </w:rPr>
        <w:t xml:space="preserve"> Zero continuous venting and flaring has been incorporated in the design of new facilities, and </w:t>
      </w:r>
      <w:r w:rsidR="002D70BE">
        <w:rPr>
          <w:lang w:val="en-US"/>
        </w:rPr>
        <w:t xml:space="preserve">the </w:t>
      </w:r>
      <w:r w:rsidR="00DA032A">
        <w:rPr>
          <w:lang w:val="en-US"/>
        </w:rPr>
        <w:t>other</w:t>
      </w:r>
      <w:r w:rsidR="00427FB3">
        <w:rPr>
          <w:lang w:val="en-US"/>
        </w:rPr>
        <w:t xml:space="preserve"> </w:t>
      </w:r>
      <w:r w:rsidR="002D70BE">
        <w:rPr>
          <w:lang w:val="en-US"/>
        </w:rPr>
        <w:t>ones</w:t>
      </w:r>
      <w:r w:rsidR="00427FB3">
        <w:rPr>
          <w:lang w:val="en-US"/>
        </w:rPr>
        <w:t xml:space="preserve"> will be modified to achieve the same result in less than 20 years. </w:t>
      </w:r>
      <w:r w:rsidR="008209CF">
        <w:rPr>
          <w:lang w:val="en-US"/>
        </w:rPr>
        <w:t>U</w:t>
      </w:r>
      <w:r w:rsidR="00427FB3">
        <w:rPr>
          <w:lang w:val="en-US"/>
        </w:rPr>
        <w:t xml:space="preserve">pstream and downstream assets will </w:t>
      </w:r>
      <w:r w:rsidR="008209CF">
        <w:rPr>
          <w:lang w:val="en-US"/>
        </w:rPr>
        <w:t xml:space="preserve">have to </w:t>
      </w:r>
      <w:r w:rsidR="00903784">
        <w:rPr>
          <w:lang w:val="en-US"/>
        </w:rPr>
        <w:t>m</w:t>
      </w:r>
      <w:r w:rsidR="00427FB3">
        <w:rPr>
          <w:lang w:val="en-US"/>
        </w:rPr>
        <w:t xml:space="preserve">eet </w:t>
      </w:r>
      <w:r w:rsidR="002D70BE">
        <w:rPr>
          <w:lang w:val="en-US"/>
        </w:rPr>
        <w:t>high standards of efficiency, and new projects will have to submit</w:t>
      </w:r>
      <w:r w:rsidR="00DA032A">
        <w:rPr>
          <w:lang w:val="en-US"/>
        </w:rPr>
        <w:t xml:space="preserve"> their</w:t>
      </w:r>
      <w:r w:rsidR="002D70BE">
        <w:rPr>
          <w:lang w:val="en-US"/>
        </w:rPr>
        <w:t xml:space="preserve"> CO</w:t>
      </w:r>
      <w:r w:rsidR="002D70BE" w:rsidRPr="002D70BE">
        <w:rPr>
          <w:vertAlign w:val="subscript"/>
          <w:lang w:val="en-US"/>
        </w:rPr>
        <w:t>2</w:t>
      </w:r>
      <w:r w:rsidR="002D70BE">
        <w:rPr>
          <w:lang w:val="en-US"/>
        </w:rPr>
        <w:t xml:space="preserve"> emissions for approval. </w:t>
      </w:r>
      <w:r w:rsidR="008A79BC">
        <w:rPr>
          <w:lang w:val="en-US"/>
        </w:rPr>
        <w:t>Social performance is also high</w:t>
      </w:r>
      <w:r w:rsidR="00DA032A">
        <w:rPr>
          <w:lang w:val="en-US"/>
        </w:rPr>
        <w:t xml:space="preserve"> leveled</w:t>
      </w:r>
      <w:r w:rsidR="008209CF">
        <w:rPr>
          <w:lang w:val="en-US"/>
        </w:rPr>
        <w:t xml:space="preserve"> in the company</w:t>
      </w:r>
      <w:r w:rsidR="008A79BC">
        <w:rPr>
          <w:lang w:val="en-US"/>
        </w:rPr>
        <w:t>, with a number of initiatives in course, the company being an active member of IPIECA.</w:t>
      </w:r>
    </w:p>
    <w:p w:rsidR="00821FCA" w:rsidRDefault="00821FCA" w:rsidP="003A7227">
      <w:pPr>
        <w:ind w:firstLine="708"/>
        <w:rPr>
          <w:lang w:val="en-US"/>
        </w:rPr>
      </w:pPr>
      <w:proofErr w:type="spellStart"/>
      <w:r w:rsidRPr="00D05F46">
        <w:rPr>
          <w:b/>
          <w:lang w:val="en-US"/>
        </w:rPr>
        <w:t>Dato</w:t>
      </w:r>
      <w:proofErr w:type="spellEnd"/>
      <w:r w:rsidRPr="00D05F46">
        <w:rPr>
          <w:b/>
          <w:lang w:val="en-US"/>
        </w:rPr>
        <w:t xml:space="preserve">’ </w:t>
      </w:r>
      <w:proofErr w:type="spellStart"/>
      <w:r w:rsidRPr="00D05F46">
        <w:rPr>
          <w:b/>
          <w:lang w:val="en-US"/>
        </w:rPr>
        <w:t>Hj</w:t>
      </w:r>
      <w:proofErr w:type="spellEnd"/>
      <w:r w:rsidRPr="00D05F46">
        <w:rPr>
          <w:b/>
          <w:lang w:val="en-US"/>
        </w:rPr>
        <w:t xml:space="preserve"> </w:t>
      </w:r>
      <w:proofErr w:type="spellStart"/>
      <w:r w:rsidRPr="00D05F46">
        <w:rPr>
          <w:b/>
          <w:lang w:val="en-US"/>
        </w:rPr>
        <w:t>Harun</w:t>
      </w:r>
      <w:proofErr w:type="spellEnd"/>
      <w:r w:rsidRPr="00D05F46">
        <w:rPr>
          <w:b/>
          <w:lang w:val="en-US"/>
        </w:rPr>
        <w:t xml:space="preserve"> </w:t>
      </w:r>
      <w:proofErr w:type="spellStart"/>
      <w:r w:rsidRPr="00D05F46">
        <w:rPr>
          <w:b/>
          <w:lang w:val="en-US"/>
        </w:rPr>
        <w:t>Hj</w:t>
      </w:r>
      <w:proofErr w:type="spellEnd"/>
      <w:r w:rsidRPr="00D05F46">
        <w:rPr>
          <w:b/>
          <w:lang w:val="en-US"/>
        </w:rPr>
        <w:t xml:space="preserve"> Ismail</w:t>
      </w:r>
      <w:r>
        <w:rPr>
          <w:lang w:val="en-US"/>
        </w:rPr>
        <w:t>,</w:t>
      </w:r>
      <w:r w:rsidR="001F4093">
        <w:rPr>
          <w:lang w:val="en-US"/>
        </w:rPr>
        <w:t xml:space="preserve"> CEO of Sabah Energy, described a compressed natural gas system</w:t>
      </w:r>
      <w:r w:rsidR="00FB23D3">
        <w:rPr>
          <w:lang w:val="en-US"/>
        </w:rPr>
        <w:t xml:space="preserve"> (CNG)</w:t>
      </w:r>
      <w:r w:rsidR="001F4093">
        <w:rPr>
          <w:lang w:val="en-US"/>
        </w:rPr>
        <w:t xml:space="preserve"> designed to serve regions unattended by </w:t>
      </w:r>
      <w:r w:rsidR="00DA032A">
        <w:rPr>
          <w:lang w:val="en-US"/>
        </w:rPr>
        <w:t xml:space="preserve">the existing </w:t>
      </w:r>
      <w:r w:rsidR="001F4093">
        <w:rPr>
          <w:lang w:val="en-US"/>
        </w:rPr>
        <w:t xml:space="preserve">pipelines. </w:t>
      </w:r>
      <w:r w:rsidR="00FB23D3">
        <w:rPr>
          <w:lang w:val="en-US"/>
        </w:rPr>
        <w:t xml:space="preserve"> Another possibility is the use of LNG, which could be produced simultaneously</w:t>
      </w:r>
      <w:r w:rsidR="00DA032A">
        <w:rPr>
          <w:lang w:val="en-US"/>
        </w:rPr>
        <w:t xml:space="preserve"> with CNG</w:t>
      </w:r>
      <w:r w:rsidR="00FB23D3">
        <w:rPr>
          <w:lang w:val="en-US"/>
        </w:rPr>
        <w:t>.</w:t>
      </w:r>
    </w:p>
    <w:p w:rsidR="00FB23D3" w:rsidRDefault="00FB23D3" w:rsidP="00FB23D3">
      <w:pPr>
        <w:pStyle w:val="Ttulo2"/>
        <w:numPr>
          <w:ilvl w:val="0"/>
          <w:numId w:val="1"/>
        </w:numPr>
        <w:rPr>
          <w:lang w:val="en-US"/>
        </w:rPr>
      </w:pPr>
      <w:r>
        <w:rPr>
          <w:lang w:val="en-US"/>
        </w:rPr>
        <w:t>WOC 1 session</w:t>
      </w:r>
      <w:r w:rsidR="007D79E2">
        <w:rPr>
          <w:lang w:val="en-US"/>
        </w:rPr>
        <w:t>s</w:t>
      </w:r>
    </w:p>
    <w:p w:rsidR="002F124A" w:rsidRDefault="00FB23D3" w:rsidP="003A7227">
      <w:pPr>
        <w:ind w:firstLine="708"/>
        <w:rPr>
          <w:lang w:val="en-US"/>
        </w:rPr>
      </w:pPr>
      <w:r w:rsidRPr="00D05F46">
        <w:rPr>
          <w:b/>
          <w:lang w:val="en-US"/>
        </w:rPr>
        <w:t xml:space="preserve">Denis </w:t>
      </w:r>
      <w:proofErr w:type="spellStart"/>
      <w:r w:rsidRPr="00D05F46">
        <w:rPr>
          <w:b/>
          <w:lang w:val="en-US"/>
        </w:rPr>
        <w:t>Krambeck</w:t>
      </w:r>
      <w:proofErr w:type="spellEnd"/>
      <w:r w:rsidRPr="00D05F46">
        <w:rPr>
          <w:b/>
          <w:lang w:val="en-US"/>
        </w:rPr>
        <w:t xml:space="preserve"> </w:t>
      </w:r>
      <w:proofErr w:type="spellStart"/>
      <w:r w:rsidRPr="00D05F46">
        <w:rPr>
          <w:b/>
          <w:lang w:val="en-US"/>
        </w:rPr>
        <w:t>Dinelli</w:t>
      </w:r>
      <w:proofErr w:type="spellEnd"/>
      <w:r>
        <w:rPr>
          <w:lang w:val="en-US"/>
        </w:rPr>
        <w:t xml:space="preserve">, Chairman of WOC 1, </w:t>
      </w:r>
      <w:r w:rsidR="004A2567">
        <w:rPr>
          <w:lang w:val="en-US"/>
        </w:rPr>
        <w:t>briefly remembered the</w:t>
      </w:r>
      <w:r w:rsidR="00506081">
        <w:rPr>
          <w:lang w:val="en-US"/>
        </w:rPr>
        <w:t xml:space="preserve"> last meeting of WOC 1 i</w:t>
      </w:r>
      <w:r w:rsidR="004A2567">
        <w:rPr>
          <w:lang w:val="en-US"/>
        </w:rPr>
        <w:t xml:space="preserve">n Rio de Janeiro, and called attention to the </w:t>
      </w:r>
      <w:r w:rsidR="00BB0A9A">
        <w:rPr>
          <w:lang w:val="en-US"/>
        </w:rPr>
        <w:t>results</w:t>
      </w:r>
      <w:r w:rsidR="004A2567">
        <w:rPr>
          <w:lang w:val="en-US"/>
        </w:rPr>
        <w:t xml:space="preserve"> expected</w:t>
      </w:r>
      <w:r w:rsidR="00506081">
        <w:rPr>
          <w:lang w:val="en-US"/>
        </w:rPr>
        <w:t xml:space="preserve"> for this meeting,</w:t>
      </w:r>
      <w:r w:rsidR="004A2567">
        <w:rPr>
          <w:lang w:val="en-US"/>
        </w:rPr>
        <w:t xml:space="preserve"> </w:t>
      </w:r>
      <w:r w:rsidR="00506081">
        <w:rPr>
          <w:lang w:val="en-US"/>
        </w:rPr>
        <w:t>including</w:t>
      </w:r>
      <w:r w:rsidR="004A2567">
        <w:rPr>
          <w:lang w:val="en-US"/>
        </w:rPr>
        <w:t xml:space="preserve"> </w:t>
      </w:r>
      <w:r w:rsidR="00506081">
        <w:rPr>
          <w:lang w:val="en-US"/>
        </w:rPr>
        <w:t>proposals</w:t>
      </w:r>
      <w:r w:rsidR="0009471C">
        <w:rPr>
          <w:lang w:val="en-US"/>
        </w:rPr>
        <w:t xml:space="preserve"> for seven </w:t>
      </w:r>
      <w:r w:rsidR="004A2567">
        <w:rPr>
          <w:lang w:val="en-US"/>
        </w:rPr>
        <w:t>World Gas Conference</w:t>
      </w:r>
      <w:r w:rsidR="0009471C">
        <w:rPr>
          <w:lang w:val="en-US"/>
        </w:rPr>
        <w:t xml:space="preserve"> panels</w:t>
      </w:r>
      <w:r w:rsidR="004A2567">
        <w:rPr>
          <w:lang w:val="en-US"/>
        </w:rPr>
        <w:t>, aiming at the call for papers that will open in February 2014. Some writing up was also expected</w:t>
      </w:r>
      <w:r w:rsidR="0009471C">
        <w:rPr>
          <w:lang w:val="en-US"/>
        </w:rPr>
        <w:t xml:space="preserve"> to be presented </w:t>
      </w:r>
      <w:r w:rsidR="004A2567">
        <w:rPr>
          <w:lang w:val="en-US"/>
        </w:rPr>
        <w:t xml:space="preserve">as </w:t>
      </w:r>
      <w:r w:rsidR="0009471C">
        <w:rPr>
          <w:lang w:val="en-US"/>
        </w:rPr>
        <w:t>the</w:t>
      </w:r>
      <w:r w:rsidR="004A2567">
        <w:rPr>
          <w:lang w:val="en-US"/>
        </w:rPr>
        <w:t xml:space="preserve"> first complete draft</w:t>
      </w:r>
      <w:r w:rsidR="0009471C">
        <w:rPr>
          <w:lang w:val="en-US"/>
        </w:rPr>
        <w:t xml:space="preserve"> of the triennial report</w:t>
      </w:r>
      <w:r w:rsidR="004A2567">
        <w:rPr>
          <w:lang w:val="en-US"/>
        </w:rPr>
        <w:t xml:space="preserve"> is expected </w:t>
      </w:r>
      <w:r w:rsidR="0009471C">
        <w:rPr>
          <w:lang w:val="en-US"/>
        </w:rPr>
        <w:t xml:space="preserve">to be delivered </w:t>
      </w:r>
      <w:r w:rsidR="004A2567">
        <w:rPr>
          <w:lang w:val="en-US"/>
        </w:rPr>
        <w:t xml:space="preserve">by the next </w:t>
      </w:r>
      <w:r w:rsidR="0009471C">
        <w:rPr>
          <w:lang w:val="en-US"/>
        </w:rPr>
        <w:t>m</w:t>
      </w:r>
      <w:r w:rsidR="004A2567">
        <w:rPr>
          <w:lang w:val="en-US"/>
        </w:rPr>
        <w:t>eeting</w:t>
      </w:r>
      <w:r w:rsidR="0009471C">
        <w:rPr>
          <w:lang w:val="en-US"/>
        </w:rPr>
        <w:t xml:space="preserve"> in </w:t>
      </w:r>
      <w:r w:rsidR="00506081">
        <w:rPr>
          <w:lang w:val="en-US"/>
        </w:rPr>
        <w:t xml:space="preserve">South </w:t>
      </w:r>
      <w:r w:rsidR="0009471C">
        <w:rPr>
          <w:lang w:val="en-US"/>
        </w:rPr>
        <w:t>Korea</w:t>
      </w:r>
      <w:r w:rsidR="004A2567">
        <w:rPr>
          <w:lang w:val="en-US"/>
        </w:rPr>
        <w:t>.</w:t>
      </w:r>
    </w:p>
    <w:p w:rsidR="00D05F46" w:rsidRDefault="00BB0A9A" w:rsidP="00506081">
      <w:pPr>
        <w:ind w:firstLine="708"/>
        <w:rPr>
          <w:lang w:val="en-US"/>
        </w:rPr>
      </w:pPr>
      <w:r>
        <w:rPr>
          <w:lang w:val="en-US"/>
        </w:rPr>
        <w:t>In addition to the</w:t>
      </w:r>
      <w:r w:rsidR="00506081">
        <w:rPr>
          <w:lang w:val="en-US"/>
        </w:rPr>
        <w:t xml:space="preserve"> traditional</w:t>
      </w:r>
      <w:r>
        <w:rPr>
          <w:lang w:val="en-US"/>
        </w:rPr>
        <w:t xml:space="preserve"> IGU website at </w:t>
      </w:r>
      <w:hyperlink r:id="rId10" w:history="1">
        <w:r w:rsidRPr="00E33B20">
          <w:rPr>
            <w:rStyle w:val="Hyperlink"/>
            <w:lang w:val="en-US"/>
          </w:rPr>
          <w:t>www.igu.org</w:t>
        </w:r>
      </w:hyperlink>
      <w:r>
        <w:rPr>
          <w:lang w:val="en-US"/>
        </w:rPr>
        <w:t xml:space="preserve"> and the Lotus </w:t>
      </w:r>
      <w:proofErr w:type="spellStart"/>
      <w:r>
        <w:rPr>
          <w:lang w:val="en-US"/>
        </w:rPr>
        <w:t>Quickr</w:t>
      </w:r>
      <w:proofErr w:type="spellEnd"/>
      <w:r>
        <w:rPr>
          <w:lang w:val="en-US"/>
        </w:rPr>
        <w:t xml:space="preserve"> account created by the WOC 1 Secretariat</w:t>
      </w:r>
      <w:r w:rsidR="00506081">
        <w:rPr>
          <w:lang w:val="en-US"/>
        </w:rPr>
        <w:t xml:space="preserve"> to facilitate the exchange of large files</w:t>
      </w:r>
      <w:r>
        <w:rPr>
          <w:lang w:val="en-US"/>
        </w:rPr>
        <w:t xml:space="preserve"> at </w:t>
      </w:r>
      <w:hyperlink r:id="rId11" w:history="1">
        <w:r w:rsidRPr="00E33B20">
          <w:rPr>
            <w:rStyle w:val="Hyperlink"/>
            <w:lang w:val="en-US"/>
          </w:rPr>
          <w:t>https://quickri.petrobras.com.br/intergu</w:t>
        </w:r>
      </w:hyperlink>
      <w:r>
        <w:rPr>
          <w:lang w:val="en-US"/>
        </w:rPr>
        <w:t xml:space="preserve">, committee members also have the Growing Together website at </w:t>
      </w:r>
      <w:r w:rsidRPr="00BB0A9A">
        <w:rPr>
          <w:rStyle w:val="Hyperlink"/>
          <w:lang w:val="en-US"/>
        </w:rPr>
        <w:t>ccmembers.wgc2015.org</w:t>
      </w:r>
      <w:r>
        <w:rPr>
          <w:lang w:val="en-US"/>
        </w:rPr>
        <w:t xml:space="preserve"> and the WOC 1 Facebook account to</w:t>
      </w:r>
      <w:r w:rsidR="00913081">
        <w:rPr>
          <w:lang w:val="en-US"/>
        </w:rPr>
        <w:t xml:space="preserve"> receive updates and</w:t>
      </w:r>
      <w:r>
        <w:rPr>
          <w:lang w:val="en-US"/>
        </w:rPr>
        <w:t xml:space="preserve"> exchange information.</w:t>
      </w:r>
    </w:p>
    <w:p w:rsidR="007D79E2" w:rsidRDefault="007D79E2" w:rsidP="007D79E2">
      <w:pPr>
        <w:pStyle w:val="Ttulo2"/>
        <w:numPr>
          <w:ilvl w:val="1"/>
          <w:numId w:val="1"/>
        </w:numPr>
        <w:ind w:left="0" w:firstLine="0"/>
        <w:rPr>
          <w:lang w:val="en-US"/>
        </w:rPr>
      </w:pPr>
      <w:r>
        <w:rPr>
          <w:lang w:val="en-US"/>
        </w:rPr>
        <w:t>SG 1.1 E&amp;P technology</w:t>
      </w:r>
    </w:p>
    <w:p w:rsidR="007D79E2" w:rsidRPr="007D79E2" w:rsidRDefault="007D79E2" w:rsidP="007D79E2">
      <w:pPr>
        <w:ind w:firstLine="708"/>
        <w:rPr>
          <w:lang w:val="en-US"/>
        </w:rPr>
      </w:pPr>
      <w:r w:rsidRPr="007D79E2">
        <w:rPr>
          <w:lang w:val="en-US"/>
        </w:rPr>
        <w:t>Th</w:t>
      </w:r>
      <w:r w:rsidR="00A64529">
        <w:rPr>
          <w:lang w:val="en-US"/>
        </w:rPr>
        <w:t>is study group</w:t>
      </w:r>
      <w:r w:rsidRPr="007D79E2">
        <w:rPr>
          <w:lang w:val="en-US"/>
        </w:rPr>
        <w:t xml:space="preserve"> </w:t>
      </w:r>
      <w:r w:rsidR="00A64529">
        <w:rPr>
          <w:lang w:val="en-US"/>
        </w:rPr>
        <w:t xml:space="preserve">session </w:t>
      </w:r>
      <w:r w:rsidRPr="007D79E2">
        <w:rPr>
          <w:lang w:val="en-US"/>
        </w:rPr>
        <w:t xml:space="preserve">started with the opening remarks of </w:t>
      </w:r>
      <w:proofErr w:type="spellStart"/>
      <w:r w:rsidRPr="00C41953">
        <w:rPr>
          <w:b/>
          <w:lang w:val="en-US"/>
        </w:rPr>
        <w:t>Rashidah</w:t>
      </w:r>
      <w:proofErr w:type="spellEnd"/>
      <w:r w:rsidRPr="00C41953">
        <w:rPr>
          <w:b/>
          <w:lang w:val="en-US"/>
        </w:rPr>
        <w:t xml:space="preserve"> </w:t>
      </w:r>
      <w:proofErr w:type="spellStart"/>
      <w:r w:rsidRPr="00C41953">
        <w:rPr>
          <w:b/>
          <w:lang w:val="en-US"/>
        </w:rPr>
        <w:t>Karim</w:t>
      </w:r>
      <w:proofErr w:type="spellEnd"/>
      <w:r w:rsidRPr="007D79E2">
        <w:rPr>
          <w:lang w:val="en-US"/>
        </w:rPr>
        <w:t>, Head of Technology Management at PETRONAS</w:t>
      </w:r>
      <w:r w:rsidR="00A64529">
        <w:rPr>
          <w:lang w:val="en-US"/>
        </w:rPr>
        <w:t xml:space="preserve">, who </w:t>
      </w:r>
      <w:r w:rsidRPr="007D79E2">
        <w:rPr>
          <w:lang w:val="en-US"/>
        </w:rPr>
        <w:t>recapped on the proposed approach and expecta</w:t>
      </w:r>
      <w:r w:rsidR="00A64529">
        <w:rPr>
          <w:lang w:val="en-US"/>
        </w:rPr>
        <w:t>t</w:t>
      </w:r>
      <w:r w:rsidRPr="007D79E2">
        <w:rPr>
          <w:lang w:val="en-US"/>
        </w:rPr>
        <w:t xml:space="preserve">ions of </w:t>
      </w:r>
      <w:r w:rsidR="00A64529">
        <w:rPr>
          <w:lang w:val="en-US"/>
        </w:rPr>
        <w:t xml:space="preserve">the study group leader, </w:t>
      </w:r>
      <w:r w:rsidRPr="007D79E2">
        <w:rPr>
          <w:lang w:val="en-US"/>
        </w:rPr>
        <w:t>Mr</w:t>
      </w:r>
      <w:r w:rsidR="00A64529">
        <w:rPr>
          <w:lang w:val="en-US"/>
        </w:rPr>
        <w:t xml:space="preserve">. </w:t>
      </w:r>
      <w:proofErr w:type="spellStart"/>
      <w:r w:rsidR="00A64529">
        <w:rPr>
          <w:lang w:val="en-US"/>
        </w:rPr>
        <w:t>Adif</w:t>
      </w:r>
      <w:proofErr w:type="spellEnd"/>
      <w:r w:rsidRPr="007D79E2">
        <w:rPr>
          <w:lang w:val="en-US"/>
        </w:rPr>
        <w:t xml:space="preserve"> </w:t>
      </w:r>
      <w:proofErr w:type="spellStart"/>
      <w:r w:rsidRPr="007D79E2">
        <w:rPr>
          <w:lang w:val="en-US"/>
        </w:rPr>
        <w:t>Zulkifli</w:t>
      </w:r>
      <w:proofErr w:type="spellEnd"/>
      <w:r w:rsidR="00A64529">
        <w:rPr>
          <w:lang w:val="en-US"/>
        </w:rPr>
        <w:t xml:space="preserve">. She </w:t>
      </w:r>
      <w:r w:rsidRPr="007D79E2">
        <w:rPr>
          <w:lang w:val="en-US"/>
        </w:rPr>
        <w:t>conveyed his message</w:t>
      </w:r>
      <w:r w:rsidR="00A64529">
        <w:rPr>
          <w:lang w:val="en-US"/>
        </w:rPr>
        <w:t xml:space="preserve"> </w:t>
      </w:r>
      <w:r w:rsidRPr="007D79E2">
        <w:rPr>
          <w:lang w:val="en-US"/>
        </w:rPr>
        <w:t xml:space="preserve">on the importance of getting the </w:t>
      </w:r>
      <w:r w:rsidR="00A64529">
        <w:rPr>
          <w:lang w:val="en-US"/>
        </w:rPr>
        <w:t xml:space="preserve">triennial </w:t>
      </w:r>
      <w:r w:rsidRPr="007D79E2">
        <w:rPr>
          <w:lang w:val="en-US"/>
        </w:rPr>
        <w:t>report ready</w:t>
      </w:r>
      <w:r w:rsidR="00170DD9">
        <w:rPr>
          <w:lang w:val="en-US"/>
        </w:rPr>
        <w:t xml:space="preserve"> in time</w:t>
      </w:r>
      <w:r w:rsidRPr="007D79E2">
        <w:rPr>
          <w:lang w:val="en-US"/>
        </w:rPr>
        <w:t xml:space="preserve"> for submission to the WOC 1 </w:t>
      </w:r>
      <w:r w:rsidR="00A64529">
        <w:rPr>
          <w:lang w:val="en-US"/>
        </w:rPr>
        <w:t>S</w:t>
      </w:r>
      <w:r w:rsidRPr="007D79E2">
        <w:rPr>
          <w:lang w:val="en-US"/>
        </w:rPr>
        <w:t>ecretariat</w:t>
      </w:r>
      <w:r w:rsidR="00A64529">
        <w:rPr>
          <w:lang w:val="en-US"/>
        </w:rPr>
        <w:t>.</w:t>
      </w:r>
    </w:p>
    <w:p w:rsidR="007D79E2" w:rsidRPr="007D79E2" w:rsidRDefault="007D79E2" w:rsidP="007D79E2">
      <w:pPr>
        <w:ind w:firstLine="708"/>
        <w:rPr>
          <w:lang w:val="en-US"/>
        </w:rPr>
      </w:pPr>
      <w:proofErr w:type="spellStart"/>
      <w:r w:rsidRPr="00C41953">
        <w:rPr>
          <w:b/>
          <w:lang w:val="en-US"/>
        </w:rPr>
        <w:t>Bramanta</w:t>
      </w:r>
      <w:proofErr w:type="spellEnd"/>
      <w:r w:rsidRPr="00C41953">
        <w:rPr>
          <w:b/>
          <w:lang w:val="en-US"/>
        </w:rPr>
        <w:t xml:space="preserve"> </w:t>
      </w:r>
      <w:proofErr w:type="spellStart"/>
      <w:r w:rsidRPr="00C41953">
        <w:rPr>
          <w:b/>
          <w:lang w:val="en-US"/>
        </w:rPr>
        <w:t>Subroto</w:t>
      </w:r>
      <w:proofErr w:type="spellEnd"/>
      <w:r w:rsidRPr="007D79E2">
        <w:rPr>
          <w:lang w:val="en-US"/>
        </w:rPr>
        <w:t xml:space="preserve"> </w:t>
      </w:r>
      <w:r w:rsidR="00A64529">
        <w:rPr>
          <w:lang w:val="en-US"/>
        </w:rPr>
        <w:t>(</w:t>
      </w:r>
      <w:r w:rsidRPr="007D79E2">
        <w:rPr>
          <w:lang w:val="en-US"/>
        </w:rPr>
        <w:t>Schlumberger</w:t>
      </w:r>
      <w:r w:rsidR="00A64529">
        <w:rPr>
          <w:lang w:val="en-US"/>
        </w:rPr>
        <w:t>)</w:t>
      </w:r>
      <w:r w:rsidRPr="007D79E2">
        <w:rPr>
          <w:lang w:val="en-US"/>
        </w:rPr>
        <w:t xml:space="preserve"> explored </w:t>
      </w:r>
      <w:r w:rsidR="00A64529">
        <w:rPr>
          <w:lang w:val="en-US"/>
        </w:rPr>
        <w:t xml:space="preserve">the use of </w:t>
      </w:r>
      <w:r w:rsidR="00DC47BF">
        <w:rPr>
          <w:lang w:val="en-US"/>
        </w:rPr>
        <w:t>d</w:t>
      </w:r>
      <w:r w:rsidR="00A64529">
        <w:rPr>
          <w:lang w:val="en-US"/>
        </w:rPr>
        <w:t xml:space="preserve">rilling </w:t>
      </w:r>
      <w:r w:rsidRPr="007D79E2">
        <w:rPr>
          <w:lang w:val="en-US"/>
        </w:rPr>
        <w:t xml:space="preserve">technologies in </w:t>
      </w:r>
      <w:r w:rsidR="00C41953">
        <w:rPr>
          <w:lang w:val="en-US"/>
        </w:rPr>
        <w:t>a cost effective manner, which is an important topic as new reservoirs tend to be more difficult to exploit than the previous ones</w:t>
      </w:r>
      <w:r w:rsidRPr="007D79E2">
        <w:rPr>
          <w:lang w:val="en-US"/>
        </w:rPr>
        <w:t xml:space="preserve">. </w:t>
      </w:r>
      <w:r w:rsidR="005B4169">
        <w:rPr>
          <w:lang w:val="en-US"/>
        </w:rPr>
        <w:t>U</w:t>
      </w:r>
      <w:r w:rsidRPr="007D79E2">
        <w:rPr>
          <w:lang w:val="en-US"/>
        </w:rPr>
        <w:t>nderstanding the formation</w:t>
      </w:r>
      <w:r w:rsidR="0096206E">
        <w:rPr>
          <w:lang w:val="en-US"/>
        </w:rPr>
        <w:t xml:space="preserve"> and well placement</w:t>
      </w:r>
      <w:r w:rsidRPr="007D79E2">
        <w:rPr>
          <w:lang w:val="en-US"/>
        </w:rPr>
        <w:t xml:space="preserve"> risk</w:t>
      </w:r>
      <w:r w:rsidR="005B4169">
        <w:rPr>
          <w:lang w:val="en-US"/>
        </w:rPr>
        <w:t xml:space="preserve">s is </w:t>
      </w:r>
      <w:r w:rsidR="0096206E">
        <w:rPr>
          <w:lang w:val="en-US"/>
        </w:rPr>
        <w:t xml:space="preserve">of great </w:t>
      </w:r>
      <w:r w:rsidR="005B4169">
        <w:rPr>
          <w:lang w:val="en-US"/>
        </w:rPr>
        <w:t>importan</w:t>
      </w:r>
      <w:r w:rsidR="0096206E">
        <w:rPr>
          <w:lang w:val="en-US"/>
        </w:rPr>
        <w:t>ce</w:t>
      </w:r>
      <w:r w:rsidR="005B4169">
        <w:rPr>
          <w:lang w:val="en-US"/>
        </w:rPr>
        <w:t>, so early engagement and cooperation between</w:t>
      </w:r>
      <w:r w:rsidR="005B4169" w:rsidRPr="005B4169">
        <w:rPr>
          <w:lang w:val="en-US"/>
        </w:rPr>
        <w:t xml:space="preserve"> operator and </w:t>
      </w:r>
      <w:r w:rsidR="005B4169">
        <w:rPr>
          <w:lang w:val="en-US"/>
        </w:rPr>
        <w:t>service provider</w:t>
      </w:r>
      <w:r w:rsidR="005B4169" w:rsidRPr="005B4169">
        <w:rPr>
          <w:lang w:val="en-US"/>
        </w:rPr>
        <w:t xml:space="preserve"> is </w:t>
      </w:r>
      <w:r w:rsidR="00170DD9">
        <w:rPr>
          <w:lang w:val="en-US"/>
        </w:rPr>
        <w:t>necessary</w:t>
      </w:r>
      <w:r w:rsidR="005B4169">
        <w:rPr>
          <w:lang w:val="en-US"/>
        </w:rPr>
        <w:t xml:space="preserve"> to increase efficiency and reduce costs</w:t>
      </w:r>
      <w:r w:rsidRPr="007D79E2">
        <w:rPr>
          <w:lang w:val="en-US"/>
        </w:rPr>
        <w:t>.</w:t>
      </w:r>
    </w:p>
    <w:p w:rsidR="00C12155" w:rsidRDefault="007D79E2" w:rsidP="007D79E2">
      <w:pPr>
        <w:ind w:firstLine="708"/>
        <w:rPr>
          <w:lang w:val="en-US"/>
        </w:rPr>
      </w:pPr>
      <w:proofErr w:type="spellStart"/>
      <w:r w:rsidRPr="0096206E">
        <w:rPr>
          <w:b/>
          <w:lang w:val="en-US"/>
        </w:rPr>
        <w:t>Yassine</w:t>
      </w:r>
      <w:proofErr w:type="spellEnd"/>
      <w:r w:rsidRPr="0096206E">
        <w:rPr>
          <w:b/>
          <w:lang w:val="en-US"/>
        </w:rPr>
        <w:t xml:space="preserve"> </w:t>
      </w:r>
      <w:proofErr w:type="spellStart"/>
      <w:r w:rsidRPr="0096206E">
        <w:rPr>
          <w:b/>
          <w:lang w:val="en-US"/>
        </w:rPr>
        <w:t>Mestiri</w:t>
      </w:r>
      <w:proofErr w:type="spellEnd"/>
      <w:r w:rsidRPr="007D79E2">
        <w:rPr>
          <w:lang w:val="en-US"/>
        </w:rPr>
        <w:t xml:space="preserve"> </w:t>
      </w:r>
      <w:r w:rsidR="0096206E">
        <w:rPr>
          <w:lang w:val="en-US"/>
        </w:rPr>
        <w:t>(ATPG/</w:t>
      </w:r>
      <w:r w:rsidRPr="007D79E2">
        <w:rPr>
          <w:lang w:val="en-US"/>
        </w:rPr>
        <w:t>ETAP</w:t>
      </w:r>
      <w:r w:rsidR="0096206E">
        <w:rPr>
          <w:lang w:val="en-US"/>
        </w:rPr>
        <w:t>)</w:t>
      </w:r>
      <w:r w:rsidRPr="007D79E2">
        <w:rPr>
          <w:lang w:val="en-US"/>
        </w:rPr>
        <w:t xml:space="preserve"> continued</w:t>
      </w:r>
      <w:r w:rsidR="0096206E">
        <w:rPr>
          <w:lang w:val="en-US"/>
        </w:rPr>
        <w:t xml:space="preserve"> with a presentation on virtual gas pipelines</w:t>
      </w:r>
      <w:r w:rsidR="004F1D63">
        <w:rPr>
          <w:lang w:val="en-US"/>
        </w:rPr>
        <w:t>, which c</w:t>
      </w:r>
      <w:r w:rsidR="002D38F4">
        <w:rPr>
          <w:lang w:val="en-US"/>
        </w:rPr>
        <w:t>ould</w:t>
      </w:r>
      <w:r w:rsidR="004F1D63">
        <w:rPr>
          <w:lang w:val="en-US"/>
        </w:rPr>
        <w:t xml:space="preserve"> be </w:t>
      </w:r>
      <w:r w:rsidR="002D38F4">
        <w:rPr>
          <w:lang w:val="en-US"/>
        </w:rPr>
        <w:t>useful</w:t>
      </w:r>
      <w:r w:rsidR="004F1D63">
        <w:rPr>
          <w:lang w:val="en-US"/>
        </w:rPr>
        <w:t xml:space="preserve"> to reduce gas flaring in </w:t>
      </w:r>
      <w:r w:rsidR="002D38F4">
        <w:rPr>
          <w:lang w:val="en-US"/>
        </w:rPr>
        <w:t>many countries</w:t>
      </w:r>
      <w:r w:rsidR="0096206E">
        <w:rPr>
          <w:lang w:val="en-US"/>
        </w:rPr>
        <w:t>.</w:t>
      </w:r>
      <w:r w:rsidR="00C12155">
        <w:rPr>
          <w:lang w:val="en-US"/>
        </w:rPr>
        <w:t xml:space="preserve"> </w:t>
      </w:r>
      <w:r w:rsidR="002D38F4">
        <w:rPr>
          <w:lang w:val="en-US"/>
        </w:rPr>
        <w:t xml:space="preserve">In Tunisia they </w:t>
      </w:r>
      <w:r w:rsidR="002009FC">
        <w:rPr>
          <w:lang w:val="en-US"/>
        </w:rPr>
        <w:t>are being considered</w:t>
      </w:r>
      <w:r w:rsidR="002D38F4">
        <w:rPr>
          <w:lang w:val="en-US"/>
        </w:rPr>
        <w:t xml:space="preserve"> </w:t>
      </w:r>
      <w:r w:rsidR="002009FC">
        <w:rPr>
          <w:lang w:val="en-US"/>
        </w:rPr>
        <w:t>for</w:t>
      </w:r>
      <w:r w:rsidR="002D38F4">
        <w:rPr>
          <w:lang w:val="en-US"/>
        </w:rPr>
        <w:t xml:space="preserve"> the </w:t>
      </w:r>
      <w:proofErr w:type="spellStart"/>
      <w:r w:rsidR="002D38F4">
        <w:rPr>
          <w:lang w:val="en-US"/>
        </w:rPr>
        <w:t>Bir</w:t>
      </w:r>
      <w:proofErr w:type="spellEnd"/>
      <w:r w:rsidR="002D38F4">
        <w:rPr>
          <w:lang w:val="en-US"/>
        </w:rPr>
        <w:t xml:space="preserve"> Ben Tartar concession in the southern part of the country, where associated gas is being produced at rates that do not justify the </w:t>
      </w:r>
      <w:r w:rsidR="002009FC">
        <w:rPr>
          <w:lang w:val="en-US"/>
        </w:rPr>
        <w:t>development</w:t>
      </w:r>
      <w:r w:rsidR="002D38F4">
        <w:rPr>
          <w:lang w:val="en-US"/>
        </w:rPr>
        <w:t xml:space="preserve"> of pipeline</w:t>
      </w:r>
      <w:r w:rsidR="002009FC">
        <w:rPr>
          <w:lang w:val="en-US"/>
        </w:rPr>
        <w:t xml:space="preserve"> infrastructures</w:t>
      </w:r>
      <w:r w:rsidR="002D38F4">
        <w:rPr>
          <w:lang w:val="en-US"/>
        </w:rPr>
        <w:t xml:space="preserve">. On the other hand, the area is not too far from </w:t>
      </w:r>
      <w:proofErr w:type="spellStart"/>
      <w:r w:rsidR="002D38F4">
        <w:rPr>
          <w:lang w:val="en-US"/>
        </w:rPr>
        <w:t>Tatouine</w:t>
      </w:r>
      <w:proofErr w:type="spellEnd"/>
      <w:r w:rsidR="002009FC">
        <w:rPr>
          <w:lang w:val="en-US"/>
        </w:rPr>
        <w:t>, where gas could be used to feed a number of industrial processes and facilities.</w:t>
      </w:r>
      <w:r w:rsidR="00E733C8">
        <w:rPr>
          <w:lang w:val="en-US"/>
        </w:rPr>
        <w:t xml:space="preserve"> </w:t>
      </w:r>
      <w:r w:rsidR="00C12155">
        <w:rPr>
          <w:lang w:val="en-US"/>
        </w:rPr>
        <w:t xml:space="preserve">A case study on a food factory located in Nigeria was </w:t>
      </w:r>
      <w:r w:rsidR="00E733C8">
        <w:rPr>
          <w:lang w:val="en-US"/>
        </w:rPr>
        <w:t xml:space="preserve">also </w:t>
      </w:r>
      <w:r w:rsidR="00C12155">
        <w:rPr>
          <w:lang w:val="en-US"/>
        </w:rPr>
        <w:t xml:space="preserve">presented, </w:t>
      </w:r>
      <w:r w:rsidR="002D38F4">
        <w:rPr>
          <w:lang w:val="en-US"/>
        </w:rPr>
        <w:t xml:space="preserve">where expensive diesel was replaced by CNG to </w:t>
      </w:r>
      <w:r w:rsidR="00E733C8">
        <w:rPr>
          <w:lang w:val="en-US"/>
        </w:rPr>
        <w:t>produce</w:t>
      </w:r>
      <w:r w:rsidR="002D38F4">
        <w:rPr>
          <w:lang w:val="en-US"/>
        </w:rPr>
        <w:t xml:space="preserve"> electricity. </w:t>
      </w:r>
    </w:p>
    <w:p w:rsidR="007D79E2" w:rsidRDefault="007D79E2" w:rsidP="007D79E2">
      <w:pPr>
        <w:ind w:firstLine="708"/>
        <w:rPr>
          <w:lang w:val="en-US"/>
        </w:rPr>
      </w:pPr>
      <w:proofErr w:type="spellStart"/>
      <w:r w:rsidRPr="00E733C8">
        <w:rPr>
          <w:b/>
          <w:lang w:val="en-US"/>
        </w:rPr>
        <w:t>Rashidah</w:t>
      </w:r>
      <w:proofErr w:type="spellEnd"/>
      <w:r w:rsidRPr="00E733C8">
        <w:rPr>
          <w:b/>
          <w:lang w:val="en-US"/>
        </w:rPr>
        <w:t xml:space="preserve"> </w:t>
      </w:r>
      <w:proofErr w:type="spellStart"/>
      <w:r w:rsidRPr="00E733C8">
        <w:rPr>
          <w:b/>
          <w:lang w:val="en-US"/>
        </w:rPr>
        <w:t>Karim</w:t>
      </w:r>
      <w:proofErr w:type="spellEnd"/>
      <w:r w:rsidRPr="007D79E2">
        <w:rPr>
          <w:lang w:val="en-US"/>
        </w:rPr>
        <w:t xml:space="preserve"> </w:t>
      </w:r>
      <w:r w:rsidR="00E733C8">
        <w:rPr>
          <w:lang w:val="en-US"/>
        </w:rPr>
        <w:t>(</w:t>
      </w:r>
      <w:r w:rsidRPr="007D79E2">
        <w:rPr>
          <w:lang w:val="en-US"/>
        </w:rPr>
        <w:t>PETRONAS</w:t>
      </w:r>
      <w:r w:rsidR="00E733C8">
        <w:rPr>
          <w:lang w:val="en-US"/>
        </w:rPr>
        <w:t>)</w:t>
      </w:r>
      <w:r w:rsidRPr="007D79E2">
        <w:rPr>
          <w:lang w:val="en-US"/>
        </w:rPr>
        <w:t xml:space="preserve"> present</w:t>
      </w:r>
      <w:r w:rsidR="00E733C8">
        <w:rPr>
          <w:lang w:val="en-US"/>
        </w:rPr>
        <w:t>ed</w:t>
      </w:r>
      <w:r w:rsidRPr="007D79E2">
        <w:rPr>
          <w:lang w:val="en-US"/>
        </w:rPr>
        <w:t xml:space="preserve"> on</w:t>
      </w:r>
      <w:r w:rsidR="00E733C8">
        <w:rPr>
          <w:lang w:val="en-US"/>
        </w:rPr>
        <w:t xml:space="preserve"> the importance of innovation</w:t>
      </w:r>
      <w:r w:rsidR="00AF1AC4">
        <w:rPr>
          <w:lang w:val="en-US"/>
        </w:rPr>
        <w:t xml:space="preserve"> for the industry</w:t>
      </w:r>
      <w:r w:rsidR="00E733C8">
        <w:rPr>
          <w:lang w:val="en-US"/>
        </w:rPr>
        <w:t>,</w:t>
      </w:r>
      <w:r w:rsidRPr="007D79E2">
        <w:rPr>
          <w:lang w:val="en-US"/>
        </w:rPr>
        <w:t xml:space="preserve"> as competitiveness </w:t>
      </w:r>
      <w:r w:rsidR="00E733C8">
        <w:rPr>
          <w:lang w:val="en-US"/>
        </w:rPr>
        <w:t xml:space="preserve">is increasing and </w:t>
      </w:r>
      <w:r w:rsidRPr="007D79E2">
        <w:rPr>
          <w:lang w:val="en-US"/>
        </w:rPr>
        <w:t xml:space="preserve">upstream technology </w:t>
      </w:r>
      <w:r w:rsidR="00E733C8">
        <w:rPr>
          <w:lang w:val="en-US"/>
        </w:rPr>
        <w:t xml:space="preserve">is </w:t>
      </w:r>
      <w:r w:rsidRPr="007D79E2">
        <w:rPr>
          <w:lang w:val="en-US"/>
        </w:rPr>
        <w:t>critical</w:t>
      </w:r>
      <w:r w:rsidR="001A1A3C">
        <w:rPr>
          <w:lang w:val="en-US"/>
        </w:rPr>
        <w:t xml:space="preserve"> to increase efficiency and reduce costs</w:t>
      </w:r>
      <w:r w:rsidR="00E733C8">
        <w:rPr>
          <w:lang w:val="en-US"/>
        </w:rPr>
        <w:t xml:space="preserve">. </w:t>
      </w:r>
      <w:r w:rsidR="009E540E">
        <w:rPr>
          <w:lang w:val="en-US"/>
        </w:rPr>
        <w:t>However, s</w:t>
      </w:r>
      <w:r w:rsidRPr="007D79E2">
        <w:rPr>
          <w:lang w:val="en-US"/>
        </w:rPr>
        <w:t>uccess</w:t>
      </w:r>
      <w:r w:rsidR="009E540E">
        <w:rPr>
          <w:lang w:val="en-US"/>
        </w:rPr>
        <w:t xml:space="preserve">ful </w:t>
      </w:r>
      <w:r w:rsidRPr="007D79E2">
        <w:rPr>
          <w:lang w:val="en-US"/>
        </w:rPr>
        <w:t xml:space="preserve">innovation requires </w:t>
      </w:r>
      <w:r w:rsidR="00033A09">
        <w:rPr>
          <w:lang w:val="en-US"/>
        </w:rPr>
        <w:t>a</w:t>
      </w:r>
      <w:r w:rsidR="009E540E">
        <w:rPr>
          <w:lang w:val="en-US"/>
        </w:rPr>
        <w:t>ddition</w:t>
      </w:r>
      <w:r w:rsidR="00033A09">
        <w:rPr>
          <w:lang w:val="en-US"/>
        </w:rPr>
        <w:t>al</w:t>
      </w:r>
      <w:r w:rsidR="009E540E">
        <w:rPr>
          <w:lang w:val="en-US"/>
        </w:rPr>
        <w:t xml:space="preserve"> </w:t>
      </w:r>
      <w:r w:rsidRPr="007D79E2">
        <w:rPr>
          <w:lang w:val="en-US"/>
        </w:rPr>
        <w:t>elements to work in concert</w:t>
      </w:r>
      <w:r w:rsidR="00AF1AC4">
        <w:rPr>
          <w:lang w:val="en-US"/>
        </w:rPr>
        <w:t>, including leadership and appropriate infrastructure</w:t>
      </w:r>
      <w:r w:rsidR="00033A09">
        <w:rPr>
          <w:lang w:val="en-US"/>
        </w:rPr>
        <w:t xml:space="preserve">. </w:t>
      </w:r>
    </w:p>
    <w:p w:rsidR="007D79E2" w:rsidRPr="007D79E2" w:rsidRDefault="001B10E6" w:rsidP="001B10E6">
      <w:pPr>
        <w:ind w:firstLine="708"/>
        <w:rPr>
          <w:lang w:val="en-US"/>
        </w:rPr>
      </w:pPr>
      <w:r>
        <w:rPr>
          <w:lang w:val="en-US"/>
        </w:rPr>
        <w:t>In a presentation on the introductory section of the triennial report,</w:t>
      </w:r>
      <w:r w:rsidR="001A1A3C">
        <w:rPr>
          <w:lang w:val="en-US"/>
        </w:rPr>
        <w:t xml:space="preserve"> </w:t>
      </w:r>
      <w:r w:rsidR="007D79E2" w:rsidRPr="00AF1AC4">
        <w:rPr>
          <w:b/>
          <w:lang w:val="en-US"/>
        </w:rPr>
        <w:t xml:space="preserve">Lenny </w:t>
      </w:r>
      <w:proofErr w:type="spellStart"/>
      <w:r w:rsidR="007D79E2" w:rsidRPr="00AF1AC4">
        <w:rPr>
          <w:b/>
          <w:lang w:val="en-US"/>
        </w:rPr>
        <w:t>Marlina</w:t>
      </w:r>
      <w:proofErr w:type="spellEnd"/>
      <w:r w:rsidR="007D79E2" w:rsidRPr="00AF1AC4">
        <w:rPr>
          <w:b/>
          <w:lang w:val="en-US"/>
        </w:rPr>
        <w:t xml:space="preserve"> Omar</w:t>
      </w:r>
      <w:r w:rsidR="007D79E2" w:rsidRPr="007D79E2">
        <w:rPr>
          <w:lang w:val="en-US"/>
        </w:rPr>
        <w:t xml:space="preserve"> </w:t>
      </w:r>
      <w:r w:rsidR="00AF1AC4">
        <w:rPr>
          <w:lang w:val="en-US"/>
        </w:rPr>
        <w:t>(</w:t>
      </w:r>
      <w:r w:rsidR="007D79E2" w:rsidRPr="007D79E2">
        <w:rPr>
          <w:lang w:val="en-US"/>
        </w:rPr>
        <w:t>PETRONAS</w:t>
      </w:r>
      <w:r w:rsidR="00AF1AC4">
        <w:rPr>
          <w:lang w:val="en-US"/>
        </w:rPr>
        <w:t>)</w:t>
      </w:r>
      <w:r w:rsidR="007D79E2" w:rsidRPr="007D79E2">
        <w:rPr>
          <w:lang w:val="en-US"/>
        </w:rPr>
        <w:t xml:space="preserve"> emphasize</w:t>
      </w:r>
      <w:r>
        <w:rPr>
          <w:lang w:val="en-US"/>
        </w:rPr>
        <w:t>d</w:t>
      </w:r>
      <w:r w:rsidR="007D79E2" w:rsidRPr="007D79E2">
        <w:rPr>
          <w:lang w:val="en-US"/>
        </w:rPr>
        <w:t xml:space="preserve"> </w:t>
      </w:r>
      <w:r w:rsidR="001A1A3C">
        <w:rPr>
          <w:lang w:val="en-US"/>
        </w:rPr>
        <w:t>the importance of technology as a driver for global gas growth.</w:t>
      </w:r>
      <w:r>
        <w:rPr>
          <w:lang w:val="en-US"/>
        </w:rPr>
        <w:t xml:space="preserve"> T</w:t>
      </w:r>
      <w:r w:rsidR="007D79E2" w:rsidRPr="007D79E2">
        <w:rPr>
          <w:lang w:val="en-US"/>
        </w:rPr>
        <w:t xml:space="preserve">echnology plays </w:t>
      </w:r>
      <w:r>
        <w:rPr>
          <w:lang w:val="en-US"/>
        </w:rPr>
        <w:t>a key</w:t>
      </w:r>
      <w:r w:rsidR="007D79E2" w:rsidRPr="007D79E2">
        <w:rPr>
          <w:lang w:val="en-US"/>
        </w:rPr>
        <w:t xml:space="preserve"> role in </w:t>
      </w:r>
      <w:r>
        <w:rPr>
          <w:lang w:val="en-US"/>
        </w:rPr>
        <w:t>the ga</w:t>
      </w:r>
      <w:r w:rsidR="007D79E2" w:rsidRPr="007D79E2">
        <w:rPr>
          <w:lang w:val="en-US"/>
        </w:rPr>
        <w:t xml:space="preserve">s value chain to </w:t>
      </w:r>
      <w:r>
        <w:rPr>
          <w:lang w:val="en-US"/>
        </w:rPr>
        <w:t>enhance</w:t>
      </w:r>
      <w:r w:rsidR="007D79E2" w:rsidRPr="007D79E2">
        <w:rPr>
          <w:lang w:val="en-US"/>
        </w:rPr>
        <w:t xml:space="preserve"> cost competitiveness, sustainability and operational excellence</w:t>
      </w:r>
      <w:r>
        <w:rPr>
          <w:lang w:val="en-US"/>
        </w:rPr>
        <w:t>, but innovations must be produced in a timely manner</w:t>
      </w:r>
      <w:r w:rsidR="007D79E2" w:rsidRPr="007D79E2">
        <w:rPr>
          <w:lang w:val="en-US"/>
        </w:rPr>
        <w:t xml:space="preserve">. </w:t>
      </w:r>
      <w:r w:rsidR="00AF1AC4">
        <w:rPr>
          <w:lang w:val="en-US"/>
        </w:rPr>
        <w:t>She</w:t>
      </w:r>
      <w:r w:rsidR="001A1A3C" w:rsidRPr="001A1A3C">
        <w:rPr>
          <w:lang w:val="en-US"/>
        </w:rPr>
        <w:t xml:space="preserve"> </w:t>
      </w:r>
      <w:r w:rsidR="001A1A3C" w:rsidRPr="007D79E2">
        <w:rPr>
          <w:lang w:val="en-US"/>
        </w:rPr>
        <w:t>shared a World Outlook 2030</w:t>
      </w:r>
      <w:r w:rsidR="00983629">
        <w:rPr>
          <w:lang w:val="en-US"/>
        </w:rPr>
        <w:t xml:space="preserve"> video</w:t>
      </w:r>
      <w:r>
        <w:rPr>
          <w:lang w:val="en-US"/>
        </w:rPr>
        <w:t xml:space="preserve"> with the attendance.</w:t>
      </w:r>
    </w:p>
    <w:p w:rsidR="007D79E2" w:rsidRPr="007D79E2" w:rsidRDefault="007D79E2" w:rsidP="007D79E2">
      <w:pPr>
        <w:ind w:firstLine="708"/>
        <w:rPr>
          <w:lang w:val="en-US"/>
        </w:rPr>
      </w:pPr>
      <w:proofErr w:type="spellStart"/>
      <w:r w:rsidRPr="00983629">
        <w:rPr>
          <w:b/>
          <w:lang w:val="en-US"/>
        </w:rPr>
        <w:t>Chalermkiat</w:t>
      </w:r>
      <w:proofErr w:type="spellEnd"/>
      <w:r w:rsidR="00983629" w:rsidRPr="00983629">
        <w:rPr>
          <w:b/>
          <w:lang w:val="en-US"/>
        </w:rPr>
        <w:t xml:space="preserve"> </w:t>
      </w:r>
      <w:proofErr w:type="spellStart"/>
      <w:r w:rsidR="00983629" w:rsidRPr="00983629">
        <w:rPr>
          <w:b/>
          <w:lang w:val="en-US"/>
        </w:rPr>
        <w:t>Tongtaow</w:t>
      </w:r>
      <w:proofErr w:type="spellEnd"/>
      <w:r w:rsidRPr="007D79E2">
        <w:rPr>
          <w:lang w:val="en-US"/>
        </w:rPr>
        <w:t xml:space="preserve"> </w:t>
      </w:r>
      <w:r w:rsidR="00983629">
        <w:rPr>
          <w:lang w:val="en-US"/>
        </w:rPr>
        <w:t>(</w:t>
      </w:r>
      <w:r w:rsidRPr="007D79E2">
        <w:rPr>
          <w:lang w:val="en-US"/>
        </w:rPr>
        <w:t>PTTEP</w:t>
      </w:r>
      <w:r w:rsidR="00983629">
        <w:rPr>
          <w:lang w:val="en-US"/>
        </w:rPr>
        <w:t>)</w:t>
      </w:r>
      <w:r w:rsidRPr="007D79E2">
        <w:rPr>
          <w:lang w:val="en-US"/>
        </w:rPr>
        <w:t xml:space="preserve"> </w:t>
      </w:r>
      <w:r w:rsidR="007D1589">
        <w:rPr>
          <w:lang w:val="en-US"/>
        </w:rPr>
        <w:t>called attention to</w:t>
      </w:r>
      <w:r w:rsidR="0038434A">
        <w:rPr>
          <w:lang w:val="en-US"/>
        </w:rPr>
        <w:t xml:space="preserve"> some</w:t>
      </w:r>
      <w:r w:rsidRPr="007D79E2">
        <w:rPr>
          <w:lang w:val="en-US"/>
        </w:rPr>
        <w:t xml:space="preserve"> </w:t>
      </w:r>
      <w:r w:rsidR="00A833D5">
        <w:rPr>
          <w:lang w:val="en-US"/>
        </w:rPr>
        <w:t xml:space="preserve">reservoir characterization </w:t>
      </w:r>
      <w:r w:rsidRPr="007D79E2">
        <w:rPr>
          <w:lang w:val="en-US"/>
        </w:rPr>
        <w:t xml:space="preserve">technologies that </w:t>
      </w:r>
      <w:r w:rsidR="009E11F1">
        <w:rPr>
          <w:lang w:val="en-US"/>
        </w:rPr>
        <w:t>can be</w:t>
      </w:r>
      <w:r w:rsidRPr="007D79E2">
        <w:rPr>
          <w:lang w:val="en-US"/>
        </w:rPr>
        <w:t xml:space="preserve"> </w:t>
      </w:r>
      <w:r w:rsidR="00983629">
        <w:rPr>
          <w:lang w:val="en-US"/>
        </w:rPr>
        <w:t>important to</w:t>
      </w:r>
      <w:r w:rsidR="00C07AD7">
        <w:rPr>
          <w:lang w:val="en-US"/>
        </w:rPr>
        <w:t xml:space="preserve"> expedite and extend the production</w:t>
      </w:r>
      <w:r w:rsidR="00B3644B">
        <w:rPr>
          <w:lang w:val="en-US"/>
        </w:rPr>
        <w:t xml:space="preserve"> of oil and gas</w:t>
      </w:r>
      <w:r w:rsidR="0038434A">
        <w:rPr>
          <w:lang w:val="en-US"/>
        </w:rPr>
        <w:t>. F</w:t>
      </w:r>
      <w:r w:rsidRPr="007D79E2">
        <w:rPr>
          <w:lang w:val="en-US"/>
        </w:rPr>
        <w:t xml:space="preserve">ull </w:t>
      </w:r>
      <w:r w:rsidR="00983629">
        <w:rPr>
          <w:lang w:val="en-US"/>
        </w:rPr>
        <w:t>w</w:t>
      </w:r>
      <w:r w:rsidRPr="007D79E2">
        <w:rPr>
          <w:lang w:val="en-US"/>
        </w:rPr>
        <w:t xml:space="preserve">aveform </w:t>
      </w:r>
      <w:r w:rsidR="00983629">
        <w:rPr>
          <w:lang w:val="en-US"/>
        </w:rPr>
        <w:t>i</w:t>
      </w:r>
      <w:r w:rsidRPr="007D79E2">
        <w:rPr>
          <w:lang w:val="en-US"/>
        </w:rPr>
        <w:t>nversion (FWI)</w:t>
      </w:r>
      <w:r w:rsidR="001E4E6D">
        <w:rPr>
          <w:lang w:val="en-US"/>
        </w:rPr>
        <w:t xml:space="preserve"> and velocity models </w:t>
      </w:r>
      <w:r w:rsidR="009E11F1">
        <w:rPr>
          <w:lang w:val="en-US"/>
        </w:rPr>
        <w:t xml:space="preserve">result in </w:t>
      </w:r>
      <w:r w:rsidR="001E4E6D">
        <w:rPr>
          <w:lang w:val="en-US"/>
        </w:rPr>
        <w:t>better imaging</w:t>
      </w:r>
      <w:r w:rsidR="009E11F1">
        <w:rPr>
          <w:lang w:val="en-US"/>
        </w:rPr>
        <w:t>, but electromagnetic technologies provide the best quality data</w:t>
      </w:r>
      <w:r w:rsidR="00B3644B">
        <w:rPr>
          <w:lang w:val="en-US"/>
        </w:rPr>
        <w:t>, while m</w:t>
      </w:r>
      <w:r w:rsidR="00A833D5">
        <w:rPr>
          <w:lang w:val="en-US"/>
        </w:rPr>
        <w:t>i</w:t>
      </w:r>
      <w:r w:rsidR="00A833D5" w:rsidRPr="007D79E2">
        <w:rPr>
          <w:lang w:val="en-US"/>
        </w:rPr>
        <w:t xml:space="preserve">cro </w:t>
      </w:r>
      <w:r w:rsidR="00A833D5">
        <w:rPr>
          <w:lang w:val="en-US"/>
        </w:rPr>
        <w:t>s</w:t>
      </w:r>
      <w:r w:rsidR="00A833D5" w:rsidRPr="007D79E2">
        <w:rPr>
          <w:lang w:val="en-US"/>
        </w:rPr>
        <w:t>eismic</w:t>
      </w:r>
      <w:r w:rsidR="00A833D5">
        <w:rPr>
          <w:lang w:val="en-US"/>
        </w:rPr>
        <w:t xml:space="preserve"> techniques are particularly important to monitor the propagation of fractures during hydraulic estimation. </w:t>
      </w:r>
      <w:r w:rsidR="00B3644B">
        <w:rPr>
          <w:lang w:val="en-US"/>
        </w:rPr>
        <w:t>So a</w:t>
      </w:r>
      <w:r w:rsidR="00A833D5">
        <w:rPr>
          <w:lang w:val="en-US"/>
        </w:rPr>
        <w:t xml:space="preserve">ll </w:t>
      </w:r>
      <w:r w:rsidR="00FE1661">
        <w:rPr>
          <w:lang w:val="en-US"/>
        </w:rPr>
        <w:t xml:space="preserve">relevant </w:t>
      </w:r>
      <w:r w:rsidR="00A833D5">
        <w:rPr>
          <w:lang w:val="en-US"/>
        </w:rPr>
        <w:t xml:space="preserve">technologies must be combined and integrated to </w:t>
      </w:r>
      <w:r w:rsidR="00B3644B">
        <w:rPr>
          <w:lang w:val="en-US"/>
        </w:rPr>
        <w:t>fill in the</w:t>
      </w:r>
      <w:r w:rsidR="00A833D5">
        <w:rPr>
          <w:lang w:val="en-US"/>
        </w:rPr>
        <w:t xml:space="preserve"> gap</w:t>
      </w:r>
      <w:r w:rsidR="00B3644B">
        <w:rPr>
          <w:lang w:val="en-US"/>
        </w:rPr>
        <w:t>s</w:t>
      </w:r>
      <w:r w:rsidR="00A833D5">
        <w:rPr>
          <w:lang w:val="en-US"/>
        </w:rPr>
        <w:t xml:space="preserve"> between geophysics, geology, reservoir</w:t>
      </w:r>
      <w:r w:rsidR="00C07AD7">
        <w:rPr>
          <w:lang w:val="en-US"/>
        </w:rPr>
        <w:t xml:space="preserve"> engineering</w:t>
      </w:r>
      <w:r w:rsidR="00A833D5">
        <w:rPr>
          <w:lang w:val="en-US"/>
        </w:rPr>
        <w:t xml:space="preserve"> and drilling</w:t>
      </w:r>
      <w:r w:rsidR="00B3644B">
        <w:rPr>
          <w:lang w:val="en-US"/>
        </w:rPr>
        <w:t xml:space="preserve"> operation</w:t>
      </w:r>
      <w:r w:rsidR="00DF63E4">
        <w:rPr>
          <w:lang w:val="en-US"/>
        </w:rPr>
        <w:t>s</w:t>
      </w:r>
      <w:r w:rsidR="0038434A">
        <w:rPr>
          <w:lang w:val="en-US"/>
        </w:rPr>
        <w:t>.</w:t>
      </w:r>
    </w:p>
    <w:p w:rsidR="007D79E2" w:rsidRPr="007D79E2" w:rsidRDefault="007D79E2" w:rsidP="007D79E2">
      <w:pPr>
        <w:ind w:firstLine="708"/>
        <w:rPr>
          <w:lang w:val="en-US"/>
        </w:rPr>
      </w:pPr>
      <w:r w:rsidRPr="00B3644B">
        <w:rPr>
          <w:b/>
          <w:lang w:val="en-US"/>
        </w:rPr>
        <w:t>Li Yang</w:t>
      </w:r>
      <w:r w:rsidRPr="007D79E2">
        <w:rPr>
          <w:lang w:val="en-US"/>
        </w:rPr>
        <w:t xml:space="preserve"> </w:t>
      </w:r>
      <w:r w:rsidR="00B3644B">
        <w:rPr>
          <w:lang w:val="en-US"/>
        </w:rPr>
        <w:t>(</w:t>
      </w:r>
      <w:r w:rsidRPr="007D79E2">
        <w:rPr>
          <w:lang w:val="en-US"/>
        </w:rPr>
        <w:t>CNPC</w:t>
      </w:r>
      <w:r w:rsidR="00B3644B">
        <w:rPr>
          <w:lang w:val="en-US"/>
        </w:rPr>
        <w:t>)</w:t>
      </w:r>
      <w:r w:rsidRPr="007D79E2">
        <w:rPr>
          <w:lang w:val="en-US"/>
        </w:rPr>
        <w:t xml:space="preserve"> </w:t>
      </w:r>
      <w:r w:rsidR="00B3644B">
        <w:rPr>
          <w:lang w:val="en-US"/>
        </w:rPr>
        <w:t>described</w:t>
      </w:r>
      <w:r w:rsidR="00600111">
        <w:rPr>
          <w:lang w:val="en-US"/>
        </w:rPr>
        <w:t xml:space="preserve"> the concept of a</w:t>
      </w:r>
      <w:r w:rsidR="00FE1661">
        <w:rPr>
          <w:lang w:val="en-US"/>
        </w:rPr>
        <w:t xml:space="preserve"> shale gas</w:t>
      </w:r>
      <w:r w:rsidR="00600111">
        <w:rPr>
          <w:lang w:val="en-US"/>
        </w:rPr>
        <w:t xml:space="preserve"> factory. </w:t>
      </w:r>
      <w:r w:rsidR="00FE1661">
        <w:rPr>
          <w:lang w:val="en-US"/>
        </w:rPr>
        <w:t>As</w:t>
      </w:r>
      <w:r w:rsidR="00600111">
        <w:rPr>
          <w:lang w:val="en-US"/>
        </w:rPr>
        <w:t xml:space="preserve"> new wells</w:t>
      </w:r>
      <w:r w:rsidR="00642524">
        <w:rPr>
          <w:lang w:val="en-US"/>
        </w:rPr>
        <w:t xml:space="preserve"> must be drilled continuously to sustain production</w:t>
      </w:r>
      <w:r w:rsidR="00600111">
        <w:rPr>
          <w:lang w:val="en-US"/>
        </w:rPr>
        <w:t>, rig skidding, multi well pad</w:t>
      </w:r>
      <w:r w:rsidR="00642524">
        <w:rPr>
          <w:lang w:val="en-US"/>
        </w:rPr>
        <w:t>s and</w:t>
      </w:r>
      <w:r w:rsidR="00600111">
        <w:rPr>
          <w:lang w:val="en-US"/>
        </w:rPr>
        <w:t xml:space="preserve"> reu</w:t>
      </w:r>
      <w:r w:rsidR="00642524">
        <w:rPr>
          <w:lang w:val="en-US"/>
        </w:rPr>
        <w:t>tilization of equipment and resources</w:t>
      </w:r>
      <w:r w:rsidR="00600111">
        <w:rPr>
          <w:lang w:val="en-US"/>
        </w:rPr>
        <w:t xml:space="preserve"> </w:t>
      </w:r>
      <w:r w:rsidR="00642524">
        <w:rPr>
          <w:lang w:val="en-US"/>
        </w:rPr>
        <w:t>are</w:t>
      </w:r>
      <w:r w:rsidR="00600111">
        <w:rPr>
          <w:lang w:val="en-US"/>
        </w:rPr>
        <w:t xml:space="preserve"> important</w:t>
      </w:r>
      <w:r w:rsidR="00FE1661">
        <w:rPr>
          <w:lang w:val="en-US"/>
        </w:rPr>
        <w:t xml:space="preserve"> issues</w:t>
      </w:r>
      <w:r w:rsidR="00642524">
        <w:rPr>
          <w:lang w:val="en-US"/>
        </w:rPr>
        <w:t xml:space="preserve"> to reduce cost and </w:t>
      </w:r>
      <w:r w:rsidR="00FE1661">
        <w:rPr>
          <w:lang w:val="en-US"/>
        </w:rPr>
        <w:t xml:space="preserve">the environmental </w:t>
      </w:r>
      <w:r w:rsidR="00642524">
        <w:rPr>
          <w:lang w:val="en-US"/>
        </w:rPr>
        <w:t>footprint</w:t>
      </w:r>
      <w:r w:rsidR="00600111">
        <w:rPr>
          <w:lang w:val="en-US"/>
        </w:rPr>
        <w:t xml:space="preserve">. </w:t>
      </w:r>
    </w:p>
    <w:p w:rsidR="00D25622" w:rsidRDefault="007D79E2" w:rsidP="007D79E2">
      <w:pPr>
        <w:ind w:firstLine="708"/>
        <w:rPr>
          <w:lang w:val="en-US"/>
        </w:rPr>
      </w:pPr>
      <w:r w:rsidRPr="00642524">
        <w:rPr>
          <w:b/>
          <w:lang w:val="en-US"/>
        </w:rPr>
        <w:t xml:space="preserve">Ekaterina </w:t>
      </w:r>
      <w:proofErr w:type="spellStart"/>
      <w:r w:rsidRPr="00642524">
        <w:rPr>
          <w:b/>
          <w:lang w:val="en-US"/>
        </w:rPr>
        <w:t>Litvinova</w:t>
      </w:r>
      <w:proofErr w:type="spellEnd"/>
      <w:r w:rsidRPr="007D79E2">
        <w:rPr>
          <w:lang w:val="en-US"/>
        </w:rPr>
        <w:t xml:space="preserve"> </w:t>
      </w:r>
      <w:r w:rsidR="00642524">
        <w:rPr>
          <w:lang w:val="en-US"/>
        </w:rPr>
        <w:t>(</w:t>
      </w:r>
      <w:r w:rsidRPr="007D79E2">
        <w:rPr>
          <w:lang w:val="en-US"/>
        </w:rPr>
        <w:t>Gazprom</w:t>
      </w:r>
      <w:r w:rsidR="00642524">
        <w:rPr>
          <w:lang w:val="en-US"/>
        </w:rPr>
        <w:t>)</w:t>
      </w:r>
      <w:r w:rsidRPr="007D79E2">
        <w:rPr>
          <w:lang w:val="en-US"/>
        </w:rPr>
        <w:t xml:space="preserve"> </w:t>
      </w:r>
      <w:r w:rsidR="00D25622">
        <w:rPr>
          <w:lang w:val="en-US"/>
        </w:rPr>
        <w:t>remembered the history of gas production in</w:t>
      </w:r>
      <w:r w:rsidRPr="007D79E2">
        <w:rPr>
          <w:lang w:val="en-US"/>
        </w:rPr>
        <w:t xml:space="preserve"> West Siberia</w:t>
      </w:r>
      <w:r w:rsidR="00D25622">
        <w:rPr>
          <w:lang w:val="en-US"/>
        </w:rPr>
        <w:t>, starting from the first discoveries in 1965. Work organization, construction in permafrost and maintenance of flow under extreme cold</w:t>
      </w:r>
      <w:r w:rsidR="00FE1661">
        <w:rPr>
          <w:lang w:val="en-US"/>
        </w:rPr>
        <w:t xml:space="preserve"> conditions</w:t>
      </w:r>
      <w:r w:rsidR="00D25622">
        <w:rPr>
          <w:lang w:val="en-US"/>
        </w:rPr>
        <w:t xml:space="preserve"> were some of the many challenges confronted there</w:t>
      </w:r>
      <w:r w:rsidR="00723598">
        <w:rPr>
          <w:lang w:val="en-US"/>
        </w:rPr>
        <w:t xml:space="preserve"> to </w:t>
      </w:r>
      <w:r w:rsidR="00F60188">
        <w:rPr>
          <w:lang w:val="en-US"/>
        </w:rPr>
        <w:t xml:space="preserve">produce while </w:t>
      </w:r>
      <w:r w:rsidR="00723598">
        <w:rPr>
          <w:lang w:val="en-US"/>
        </w:rPr>
        <w:t>preserv</w:t>
      </w:r>
      <w:r w:rsidR="00F60188">
        <w:rPr>
          <w:lang w:val="en-US"/>
        </w:rPr>
        <w:t>ing</w:t>
      </w:r>
      <w:r w:rsidR="00723598">
        <w:rPr>
          <w:lang w:val="en-US"/>
        </w:rPr>
        <w:t xml:space="preserve"> the environment</w:t>
      </w:r>
      <w:r w:rsidR="00D25622">
        <w:rPr>
          <w:lang w:val="en-US"/>
        </w:rPr>
        <w:t>. The solution included the use of insulated pipes</w:t>
      </w:r>
      <w:r w:rsidR="00723598">
        <w:rPr>
          <w:lang w:val="en-US"/>
        </w:rPr>
        <w:t xml:space="preserve"> to prevent permafrost thawing, recycling of resources and good planning.</w:t>
      </w:r>
    </w:p>
    <w:p w:rsidR="00066AE6" w:rsidRPr="007D79E2" w:rsidRDefault="007D79E2" w:rsidP="00867B68">
      <w:pPr>
        <w:ind w:firstLine="708"/>
        <w:rPr>
          <w:lang w:val="en-US"/>
        </w:rPr>
      </w:pPr>
      <w:r w:rsidRPr="007D79E2">
        <w:rPr>
          <w:lang w:val="en-US"/>
        </w:rPr>
        <w:t xml:space="preserve">The second day of the meeting continued with discussions on the potential themes for WGC 2015 and the way forward for the study group report. </w:t>
      </w:r>
      <w:r w:rsidR="00F60188">
        <w:rPr>
          <w:lang w:val="en-US"/>
        </w:rPr>
        <w:t>The d</w:t>
      </w:r>
      <w:r w:rsidRPr="007D79E2">
        <w:rPr>
          <w:lang w:val="en-US"/>
        </w:rPr>
        <w:t>iscussion</w:t>
      </w:r>
      <w:r w:rsidR="00F60188">
        <w:rPr>
          <w:lang w:val="en-US"/>
        </w:rPr>
        <w:t>s</w:t>
      </w:r>
      <w:r w:rsidRPr="007D79E2">
        <w:rPr>
          <w:lang w:val="en-US"/>
        </w:rPr>
        <w:t xml:space="preserve"> </w:t>
      </w:r>
      <w:r w:rsidR="00F60188">
        <w:rPr>
          <w:lang w:val="en-US"/>
        </w:rPr>
        <w:t>will</w:t>
      </w:r>
      <w:r w:rsidRPr="007D79E2">
        <w:rPr>
          <w:lang w:val="en-US"/>
        </w:rPr>
        <w:t xml:space="preserve"> continue by email, and </w:t>
      </w:r>
      <w:r w:rsidR="00F60188">
        <w:rPr>
          <w:lang w:val="en-US"/>
        </w:rPr>
        <w:t>a</w:t>
      </w:r>
      <w:r w:rsidRPr="007D79E2">
        <w:rPr>
          <w:lang w:val="en-US"/>
        </w:rPr>
        <w:t xml:space="preserve"> first </w:t>
      </w:r>
      <w:r w:rsidR="00F60188">
        <w:rPr>
          <w:lang w:val="en-US"/>
        </w:rPr>
        <w:t xml:space="preserve">complete </w:t>
      </w:r>
      <w:r w:rsidRPr="007D79E2">
        <w:rPr>
          <w:lang w:val="en-US"/>
        </w:rPr>
        <w:t xml:space="preserve">draft </w:t>
      </w:r>
      <w:r w:rsidR="00F60188">
        <w:rPr>
          <w:lang w:val="en-US"/>
        </w:rPr>
        <w:t>is expected to be submitted</w:t>
      </w:r>
      <w:r w:rsidR="000D2A0F">
        <w:rPr>
          <w:lang w:val="en-US"/>
        </w:rPr>
        <w:t xml:space="preserve"> by December 2013</w:t>
      </w:r>
      <w:r w:rsidR="0067452D">
        <w:rPr>
          <w:lang w:val="en-US"/>
        </w:rPr>
        <w:t xml:space="preserve"> to the WOC 1 secretariat</w:t>
      </w:r>
      <w:r w:rsidR="00066AE6">
        <w:rPr>
          <w:lang w:val="en-US"/>
        </w:rPr>
        <w:t xml:space="preserve">, as </w:t>
      </w:r>
      <w:r w:rsidR="007B1840">
        <w:rPr>
          <w:lang w:val="en-US"/>
        </w:rPr>
        <w:t>indicated in the wrap up presentation performed</w:t>
      </w:r>
      <w:r w:rsidR="00066AE6">
        <w:rPr>
          <w:lang w:val="en-US"/>
        </w:rPr>
        <w:t xml:space="preserve"> by</w:t>
      </w:r>
      <w:r w:rsidR="005F49EC">
        <w:rPr>
          <w:lang w:val="en-US"/>
        </w:rPr>
        <w:t xml:space="preserve"> </w:t>
      </w:r>
      <w:proofErr w:type="spellStart"/>
      <w:r w:rsidR="00066AE6" w:rsidRPr="005D5709">
        <w:rPr>
          <w:b/>
          <w:lang w:val="en-GB"/>
        </w:rPr>
        <w:t>Im</w:t>
      </w:r>
      <w:proofErr w:type="spellEnd"/>
      <w:r w:rsidR="00066AE6" w:rsidRPr="005D5709">
        <w:rPr>
          <w:b/>
          <w:lang w:val="en-GB"/>
        </w:rPr>
        <w:t xml:space="preserve"> </w:t>
      </w:r>
      <w:proofErr w:type="spellStart"/>
      <w:r w:rsidR="00066AE6" w:rsidRPr="005D5709">
        <w:rPr>
          <w:b/>
          <w:lang w:val="en-GB"/>
        </w:rPr>
        <w:t>Xaxanuhani</w:t>
      </w:r>
      <w:proofErr w:type="spellEnd"/>
      <w:r w:rsidR="00066AE6" w:rsidRPr="005D5709">
        <w:rPr>
          <w:b/>
          <w:lang w:val="en-GB"/>
        </w:rPr>
        <w:t xml:space="preserve"> </w:t>
      </w:r>
      <w:proofErr w:type="spellStart"/>
      <w:proofErr w:type="gramStart"/>
      <w:r w:rsidR="00066AE6" w:rsidRPr="005D5709">
        <w:rPr>
          <w:b/>
          <w:lang w:val="en-GB"/>
        </w:rPr>
        <w:t>Bt</w:t>
      </w:r>
      <w:proofErr w:type="spellEnd"/>
      <w:proofErr w:type="gramEnd"/>
      <w:r w:rsidR="00066AE6" w:rsidRPr="005D5709">
        <w:rPr>
          <w:b/>
          <w:lang w:val="en-GB"/>
        </w:rPr>
        <w:t xml:space="preserve"> </w:t>
      </w:r>
      <w:proofErr w:type="spellStart"/>
      <w:r w:rsidR="00066AE6" w:rsidRPr="005D5709">
        <w:rPr>
          <w:b/>
          <w:lang w:val="en-GB"/>
        </w:rPr>
        <w:t>Zulkifli</w:t>
      </w:r>
      <w:proofErr w:type="spellEnd"/>
      <w:r w:rsidR="00066AE6" w:rsidRPr="005D5709">
        <w:rPr>
          <w:lang w:val="en-GB"/>
        </w:rPr>
        <w:t xml:space="preserve"> (</w:t>
      </w:r>
      <w:proofErr w:type="spellStart"/>
      <w:r w:rsidR="00066AE6" w:rsidRPr="005D5709">
        <w:rPr>
          <w:lang w:val="en-GB"/>
        </w:rPr>
        <w:t>Petronas</w:t>
      </w:r>
      <w:proofErr w:type="spellEnd"/>
      <w:r w:rsidR="00066AE6" w:rsidRPr="005D5709">
        <w:rPr>
          <w:lang w:val="en-GB"/>
        </w:rPr>
        <w:t>)</w:t>
      </w:r>
      <w:r w:rsidR="00066AE6">
        <w:rPr>
          <w:lang w:val="en-GB"/>
        </w:rPr>
        <w:t xml:space="preserve">. </w:t>
      </w:r>
      <w:r w:rsidR="007B1840">
        <w:rPr>
          <w:lang w:val="en-GB"/>
        </w:rPr>
        <w:t>The</w:t>
      </w:r>
      <w:r w:rsidR="005F49EC">
        <w:rPr>
          <w:lang w:val="en-US"/>
        </w:rPr>
        <w:t xml:space="preserve"> WGC</w:t>
      </w:r>
      <w:r w:rsidR="007B1840">
        <w:rPr>
          <w:lang w:val="en-US"/>
        </w:rPr>
        <w:t xml:space="preserve"> panels proposed by the group </w:t>
      </w:r>
      <w:r w:rsidR="005F49EC">
        <w:rPr>
          <w:lang w:val="en-US"/>
        </w:rPr>
        <w:t xml:space="preserve">will </w:t>
      </w:r>
      <w:r w:rsidR="00066AE6">
        <w:rPr>
          <w:lang w:val="en-US"/>
        </w:rPr>
        <w:t>b</w:t>
      </w:r>
      <w:r w:rsidR="005F49EC">
        <w:rPr>
          <w:lang w:val="en-US"/>
        </w:rPr>
        <w:t>e forwarded to the Coordination Committee</w:t>
      </w:r>
      <w:r w:rsidR="007B1840">
        <w:rPr>
          <w:lang w:val="en-US"/>
        </w:rPr>
        <w:t xml:space="preserve"> by the Secretariat of WOC 1</w:t>
      </w:r>
      <w:r w:rsidR="005F49EC">
        <w:rPr>
          <w:lang w:val="en-US"/>
        </w:rPr>
        <w:t xml:space="preserve"> after consolidation.</w:t>
      </w:r>
    </w:p>
    <w:p w:rsidR="007D79E2" w:rsidRDefault="007D79E2" w:rsidP="007D79E2">
      <w:pPr>
        <w:pStyle w:val="Ttulo2"/>
        <w:numPr>
          <w:ilvl w:val="1"/>
          <w:numId w:val="1"/>
        </w:numPr>
        <w:ind w:left="0" w:firstLine="0"/>
        <w:rPr>
          <w:lang w:val="en-US"/>
        </w:rPr>
      </w:pPr>
      <w:r>
        <w:rPr>
          <w:lang w:val="en-US"/>
        </w:rPr>
        <w:t>SG 1.2 Assessment of reserves and resources</w:t>
      </w:r>
    </w:p>
    <w:p w:rsidR="007D79E2" w:rsidRPr="007D79E2" w:rsidRDefault="00520788" w:rsidP="00D05F46">
      <w:pPr>
        <w:ind w:firstLine="708"/>
        <w:rPr>
          <w:lang w:val="en-US"/>
        </w:rPr>
      </w:pPr>
      <w:r w:rsidRPr="00520788">
        <w:rPr>
          <w:b/>
          <w:lang w:val="en-US"/>
        </w:rPr>
        <w:t xml:space="preserve">Denis </w:t>
      </w:r>
      <w:proofErr w:type="spellStart"/>
      <w:r w:rsidRPr="00520788">
        <w:rPr>
          <w:b/>
          <w:lang w:val="en-US"/>
        </w:rPr>
        <w:t>Krambeck</w:t>
      </w:r>
      <w:proofErr w:type="spellEnd"/>
      <w:r w:rsidRPr="00520788">
        <w:rPr>
          <w:b/>
          <w:lang w:val="en-US"/>
        </w:rPr>
        <w:t xml:space="preserve"> </w:t>
      </w:r>
      <w:proofErr w:type="spellStart"/>
      <w:r w:rsidRPr="00520788">
        <w:rPr>
          <w:b/>
          <w:lang w:val="en-US"/>
        </w:rPr>
        <w:t>Dinelli</w:t>
      </w:r>
      <w:proofErr w:type="spellEnd"/>
      <w:r>
        <w:rPr>
          <w:lang w:val="en-US"/>
        </w:rPr>
        <w:t xml:space="preserve"> (</w:t>
      </w:r>
      <w:proofErr w:type="spellStart"/>
      <w:r>
        <w:rPr>
          <w:lang w:val="en-US"/>
        </w:rPr>
        <w:t>Petrobras</w:t>
      </w:r>
      <w:proofErr w:type="spellEnd"/>
      <w:r>
        <w:rPr>
          <w:lang w:val="en-US"/>
        </w:rPr>
        <w:t xml:space="preserve">) identified some trends for gas exploration and production, as required by the division of work established in the previous meeting. His presentation and triennial report contribution included a brief analysis of the most important pricing mechanisms in place. Basically, </w:t>
      </w:r>
      <w:r w:rsidR="00441C92">
        <w:rPr>
          <w:lang w:val="en-US"/>
        </w:rPr>
        <w:t>spot pricing</w:t>
      </w:r>
      <w:r>
        <w:rPr>
          <w:lang w:val="en-US"/>
        </w:rPr>
        <w:t xml:space="preserve"> </w:t>
      </w:r>
      <w:r w:rsidR="00441C92">
        <w:rPr>
          <w:lang w:val="en-US"/>
        </w:rPr>
        <w:t>seems to be</w:t>
      </w:r>
      <w:r>
        <w:rPr>
          <w:lang w:val="en-US"/>
        </w:rPr>
        <w:t xml:space="preserve"> increasing in lieu of </w:t>
      </w:r>
      <w:r w:rsidR="00441C92">
        <w:rPr>
          <w:lang w:val="en-US"/>
        </w:rPr>
        <w:t xml:space="preserve">the traditional </w:t>
      </w:r>
      <w:r>
        <w:rPr>
          <w:lang w:val="en-US"/>
        </w:rPr>
        <w:t>long term contracts indexed in oil, and this may cause producers to be less inclined to invest in high risk areas. Another interesting trend is the fact that gas is gaining space i</w:t>
      </w:r>
      <w:r w:rsidR="00170DD9">
        <w:rPr>
          <w:lang w:val="en-US"/>
        </w:rPr>
        <w:t>n the business portfolio of the international oil companies</w:t>
      </w:r>
      <w:r w:rsidR="00441C92">
        <w:rPr>
          <w:lang w:val="en-US"/>
        </w:rPr>
        <w:t xml:space="preserve">. </w:t>
      </w:r>
    </w:p>
    <w:p w:rsidR="007D79E2" w:rsidRDefault="00510F9A" w:rsidP="00A06B12">
      <w:pPr>
        <w:ind w:firstLine="708"/>
        <w:rPr>
          <w:lang w:val="en-US"/>
        </w:rPr>
      </w:pPr>
      <w:r>
        <w:rPr>
          <w:b/>
          <w:lang w:val="en-US"/>
        </w:rPr>
        <w:t xml:space="preserve">Fernando </w:t>
      </w:r>
      <w:proofErr w:type="spellStart"/>
      <w:r>
        <w:rPr>
          <w:b/>
          <w:lang w:val="en-US"/>
        </w:rPr>
        <w:t>Bado</w:t>
      </w:r>
      <w:proofErr w:type="spellEnd"/>
      <w:r>
        <w:rPr>
          <w:b/>
          <w:lang w:val="en-US"/>
        </w:rPr>
        <w:t xml:space="preserve"> </w:t>
      </w:r>
      <w:r w:rsidR="007D79E2" w:rsidRPr="007D79E2">
        <w:rPr>
          <w:lang w:val="en-US"/>
        </w:rPr>
        <w:t>(</w:t>
      </w:r>
      <w:proofErr w:type="spellStart"/>
      <w:r>
        <w:rPr>
          <w:lang w:val="en-US"/>
        </w:rPr>
        <w:t>Tenaris</w:t>
      </w:r>
      <w:proofErr w:type="spellEnd"/>
      <w:r w:rsidR="007D79E2" w:rsidRPr="007D79E2">
        <w:rPr>
          <w:lang w:val="en-US"/>
        </w:rPr>
        <w:t>)</w:t>
      </w:r>
      <w:r>
        <w:rPr>
          <w:lang w:val="en-US"/>
        </w:rPr>
        <w:t xml:space="preserve"> used data from the IEA (2013), EIA (2013) and BP (2013) to perform analyses o</w:t>
      </w:r>
      <w:r w:rsidR="00170DD9">
        <w:rPr>
          <w:lang w:val="en-US"/>
        </w:rPr>
        <w:t>n</w:t>
      </w:r>
      <w:r>
        <w:rPr>
          <w:lang w:val="en-US"/>
        </w:rPr>
        <w:t xml:space="preserve"> </w:t>
      </w:r>
      <w:r w:rsidR="00AD3E37">
        <w:rPr>
          <w:lang w:val="en-US"/>
        </w:rPr>
        <w:t xml:space="preserve">global </w:t>
      </w:r>
      <w:r>
        <w:rPr>
          <w:lang w:val="en-US"/>
        </w:rPr>
        <w:t xml:space="preserve">reserves and resources for </w:t>
      </w:r>
      <w:r w:rsidR="00FE1101">
        <w:rPr>
          <w:lang w:val="en-US"/>
        </w:rPr>
        <w:t>conventional and unconventional gas</w:t>
      </w:r>
      <w:r w:rsidR="004F4F64">
        <w:rPr>
          <w:lang w:val="en-US"/>
        </w:rPr>
        <w:t xml:space="preserve">. </w:t>
      </w:r>
      <w:r w:rsidR="00170DD9">
        <w:rPr>
          <w:lang w:val="en-US"/>
        </w:rPr>
        <w:t>R</w:t>
      </w:r>
      <w:r w:rsidR="009B7D3F">
        <w:rPr>
          <w:lang w:val="en-US"/>
        </w:rPr>
        <w:t>emaining conventional resources would be very large in North America, but proven reserves</w:t>
      </w:r>
      <w:r w:rsidR="00FE1101">
        <w:rPr>
          <w:lang w:val="en-US"/>
        </w:rPr>
        <w:t xml:space="preserve"> would be</w:t>
      </w:r>
      <w:r w:rsidR="009B7D3F">
        <w:rPr>
          <w:lang w:val="en-US"/>
        </w:rPr>
        <w:t xml:space="preserve"> smaller</w:t>
      </w:r>
      <w:r w:rsidR="00170DD9">
        <w:rPr>
          <w:lang w:val="en-US"/>
        </w:rPr>
        <w:t xml:space="preserve"> there</w:t>
      </w:r>
      <w:r w:rsidR="009B7D3F">
        <w:rPr>
          <w:lang w:val="en-US"/>
        </w:rPr>
        <w:t xml:space="preserve"> than in the CIS or the Middle East, </w:t>
      </w:r>
      <w:r w:rsidR="00170DD9">
        <w:rPr>
          <w:lang w:val="en-US"/>
        </w:rPr>
        <w:t>where</w:t>
      </w:r>
      <w:r w:rsidR="00FE1101">
        <w:rPr>
          <w:lang w:val="en-US"/>
        </w:rPr>
        <w:t xml:space="preserve"> </w:t>
      </w:r>
      <w:r w:rsidR="009B7D3F">
        <w:rPr>
          <w:lang w:val="en-US"/>
        </w:rPr>
        <w:t>concentrated in a small number of large accumulations.</w:t>
      </w:r>
      <w:r w:rsidR="008544CA">
        <w:rPr>
          <w:lang w:val="en-US"/>
        </w:rPr>
        <w:t xml:space="preserve"> Most of the additional throughput in the next 25 years is expected to come from the Middle East, North Africa and Russia</w:t>
      </w:r>
      <w:r w:rsidR="00895D7A">
        <w:rPr>
          <w:lang w:val="en-US"/>
        </w:rPr>
        <w:t xml:space="preserve">, </w:t>
      </w:r>
      <w:r w:rsidR="006F2D8B">
        <w:rPr>
          <w:lang w:val="en-US"/>
        </w:rPr>
        <w:t>but e</w:t>
      </w:r>
      <w:r w:rsidR="008544CA">
        <w:rPr>
          <w:lang w:val="en-US"/>
        </w:rPr>
        <w:t xml:space="preserve">xciting frontier resources </w:t>
      </w:r>
      <w:r w:rsidR="00AC561E">
        <w:rPr>
          <w:lang w:val="en-US"/>
        </w:rPr>
        <w:t>subsist</w:t>
      </w:r>
      <w:r w:rsidR="008544CA">
        <w:rPr>
          <w:lang w:val="en-US"/>
        </w:rPr>
        <w:t xml:space="preserve"> in deep waters and</w:t>
      </w:r>
      <w:r w:rsidR="006F2D8B">
        <w:rPr>
          <w:lang w:val="en-US"/>
        </w:rPr>
        <w:t xml:space="preserve"> </w:t>
      </w:r>
      <w:r w:rsidR="008544CA">
        <w:rPr>
          <w:lang w:val="en-US"/>
        </w:rPr>
        <w:t>the Arctic</w:t>
      </w:r>
      <w:r w:rsidR="00AC561E">
        <w:rPr>
          <w:lang w:val="en-US"/>
        </w:rPr>
        <w:t>, whose basins may contain more than 30% of the undiscovered gas</w:t>
      </w:r>
      <w:r w:rsidR="006F2D8B">
        <w:rPr>
          <w:lang w:val="en-US"/>
        </w:rPr>
        <w:t xml:space="preserve">, </w:t>
      </w:r>
      <w:r w:rsidR="00170DD9">
        <w:rPr>
          <w:lang w:val="en-US"/>
        </w:rPr>
        <w:t>especially</w:t>
      </w:r>
      <w:r w:rsidR="006F2D8B">
        <w:rPr>
          <w:lang w:val="en-US"/>
        </w:rPr>
        <w:t xml:space="preserve"> in </w:t>
      </w:r>
      <w:r>
        <w:rPr>
          <w:lang w:val="en-US"/>
        </w:rPr>
        <w:t xml:space="preserve">the </w:t>
      </w:r>
      <w:r w:rsidR="006F2D8B">
        <w:rPr>
          <w:lang w:val="en-US"/>
        </w:rPr>
        <w:t>South Kara</w:t>
      </w:r>
      <w:r>
        <w:rPr>
          <w:lang w:val="en-US"/>
        </w:rPr>
        <w:t xml:space="preserve"> Sea</w:t>
      </w:r>
      <w:r w:rsidR="006F2D8B">
        <w:rPr>
          <w:lang w:val="en-US"/>
        </w:rPr>
        <w:t xml:space="preserve">, </w:t>
      </w:r>
      <w:r>
        <w:rPr>
          <w:lang w:val="en-US"/>
        </w:rPr>
        <w:t xml:space="preserve">the </w:t>
      </w:r>
      <w:r w:rsidR="006F2D8B">
        <w:rPr>
          <w:lang w:val="en-US"/>
        </w:rPr>
        <w:t>Barents</w:t>
      </w:r>
      <w:r>
        <w:rPr>
          <w:lang w:val="en-US"/>
        </w:rPr>
        <w:t xml:space="preserve"> Sea</w:t>
      </w:r>
      <w:r w:rsidR="006F2D8B">
        <w:rPr>
          <w:lang w:val="en-US"/>
        </w:rPr>
        <w:t xml:space="preserve"> and Alaska.</w:t>
      </w:r>
      <w:r w:rsidR="004F4F64">
        <w:rPr>
          <w:lang w:val="en-US"/>
        </w:rPr>
        <w:t xml:space="preserve"> Unconventional gas resources, on the other hand, </w:t>
      </w:r>
      <w:r w:rsidR="00A06B12">
        <w:rPr>
          <w:lang w:val="en-US"/>
        </w:rPr>
        <w:t>c</w:t>
      </w:r>
      <w:r w:rsidR="004F4F64">
        <w:rPr>
          <w:lang w:val="en-US"/>
        </w:rPr>
        <w:t>ould rise from 13%</w:t>
      </w:r>
      <w:r>
        <w:rPr>
          <w:lang w:val="en-US"/>
        </w:rPr>
        <w:t xml:space="preserve"> of the total</w:t>
      </w:r>
      <w:r w:rsidR="004F4F64">
        <w:rPr>
          <w:lang w:val="en-US"/>
        </w:rPr>
        <w:t xml:space="preserve"> in 2009 to </w:t>
      </w:r>
      <w:r>
        <w:rPr>
          <w:lang w:val="en-US"/>
        </w:rPr>
        <w:t xml:space="preserve">about </w:t>
      </w:r>
      <w:r w:rsidR="004F4F64">
        <w:rPr>
          <w:lang w:val="en-US"/>
        </w:rPr>
        <w:t xml:space="preserve">20% </w:t>
      </w:r>
      <w:r>
        <w:rPr>
          <w:lang w:val="en-US"/>
        </w:rPr>
        <w:t>in</w:t>
      </w:r>
      <w:r w:rsidR="00170DD9">
        <w:rPr>
          <w:lang w:val="en-US"/>
        </w:rPr>
        <w:t xml:space="preserve"> 2035, mostly because of the huge potential available</w:t>
      </w:r>
      <w:r w:rsidR="004F4F64">
        <w:rPr>
          <w:lang w:val="en-US"/>
        </w:rPr>
        <w:t xml:space="preserve"> </w:t>
      </w:r>
      <w:r w:rsidR="00895D7A">
        <w:rPr>
          <w:lang w:val="en-US"/>
        </w:rPr>
        <w:t>in</w:t>
      </w:r>
      <w:r w:rsidR="004F4F64">
        <w:rPr>
          <w:lang w:val="en-US"/>
        </w:rPr>
        <w:t xml:space="preserve"> the USA</w:t>
      </w:r>
      <w:r w:rsidR="00895D7A">
        <w:rPr>
          <w:lang w:val="en-US"/>
        </w:rPr>
        <w:t xml:space="preserve">, </w:t>
      </w:r>
      <w:r w:rsidR="004F4F64">
        <w:rPr>
          <w:lang w:val="en-US"/>
        </w:rPr>
        <w:t>Canada</w:t>
      </w:r>
      <w:r>
        <w:rPr>
          <w:lang w:val="en-US"/>
        </w:rPr>
        <w:t xml:space="preserve"> </w:t>
      </w:r>
      <w:r w:rsidR="004F4F64">
        <w:rPr>
          <w:lang w:val="en-US"/>
        </w:rPr>
        <w:t>and China.</w:t>
      </w:r>
      <w:r>
        <w:rPr>
          <w:lang w:val="en-US"/>
        </w:rPr>
        <w:t xml:space="preserve"> </w:t>
      </w:r>
      <w:r w:rsidR="00170DD9">
        <w:rPr>
          <w:lang w:val="en-US"/>
        </w:rPr>
        <w:t xml:space="preserve">For the moment, </w:t>
      </w:r>
      <w:r w:rsidR="00634475">
        <w:rPr>
          <w:lang w:val="en-US"/>
        </w:rPr>
        <w:t xml:space="preserve">the </w:t>
      </w:r>
      <w:r w:rsidR="00170DD9">
        <w:rPr>
          <w:lang w:val="en-US"/>
        </w:rPr>
        <w:t>p</w:t>
      </w:r>
      <w:r w:rsidR="004106CE">
        <w:rPr>
          <w:lang w:val="en-US"/>
        </w:rPr>
        <w:t xml:space="preserve">roduction of shale gas </w:t>
      </w:r>
      <w:r w:rsidR="00170DD9">
        <w:rPr>
          <w:lang w:val="en-US"/>
        </w:rPr>
        <w:t>remains</w:t>
      </w:r>
      <w:r w:rsidR="004106CE">
        <w:rPr>
          <w:lang w:val="en-US"/>
        </w:rPr>
        <w:t xml:space="preserve"> negl</w:t>
      </w:r>
      <w:r>
        <w:rPr>
          <w:lang w:val="en-US"/>
        </w:rPr>
        <w:t>igible</w:t>
      </w:r>
      <w:r w:rsidR="004106CE">
        <w:rPr>
          <w:lang w:val="en-US"/>
        </w:rPr>
        <w:t xml:space="preserve"> </w:t>
      </w:r>
      <w:r w:rsidR="00A06B12">
        <w:rPr>
          <w:lang w:val="en-US"/>
        </w:rPr>
        <w:t>outside North America</w:t>
      </w:r>
      <w:r w:rsidR="004106CE">
        <w:rPr>
          <w:lang w:val="en-US"/>
        </w:rPr>
        <w:t xml:space="preserve">, in spite of </w:t>
      </w:r>
      <w:r>
        <w:rPr>
          <w:lang w:val="en-US"/>
        </w:rPr>
        <w:t xml:space="preserve">considerable </w:t>
      </w:r>
      <w:r w:rsidR="004106CE">
        <w:rPr>
          <w:lang w:val="en-US"/>
        </w:rPr>
        <w:t xml:space="preserve">efforts developed in Austria, Poland, Sweden, Chile, Argentina and the UK. </w:t>
      </w:r>
    </w:p>
    <w:p w:rsidR="00634475" w:rsidRDefault="00634475" w:rsidP="00A06B12">
      <w:pPr>
        <w:ind w:firstLine="708"/>
        <w:rPr>
          <w:lang w:val="en-US"/>
        </w:rPr>
      </w:pPr>
      <w:r>
        <w:rPr>
          <w:lang w:val="en-GB"/>
        </w:rPr>
        <w:t>A section of the triennial report</w:t>
      </w:r>
      <w:r>
        <w:rPr>
          <w:lang w:val="en-GB"/>
        </w:rPr>
        <w:t xml:space="preserve"> elaborated by SG 1.3</w:t>
      </w:r>
      <w:r>
        <w:rPr>
          <w:lang w:val="en-GB"/>
        </w:rPr>
        <w:t xml:space="preserve"> describes a few factors not often developed by analysts of the North American unconventional gas revolution, such as drilling carries, foreign investment and subsidies, but it is important to </w:t>
      </w:r>
      <w:r>
        <w:rPr>
          <w:lang w:val="en-GB"/>
        </w:rPr>
        <w:t>enhance</w:t>
      </w:r>
      <w:r>
        <w:rPr>
          <w:lang w:val="en-GB"/>
        </w:rPr>
        <w:t xml:space="preserve"> th</w:t>
      </w:r>
      <w:r>
        <w:rPr>
          <w:lang w:val="en-GB"/>
        </w:rPr>
        <w:t>e</w:t>
      </w:r>
      <w:r>
        <w:rPr>
          <w:lang w:val="en-GB"/>
        </w:rPr>
        <w:t xml:space="preserve"> </w:t>
      </w:r>
      <w:r>
        <w:rPr>
          <w:lang w:val="en-GB"/>
        </w:rPr>
        <w:t xml:space="preserve">current </w:t>
      </w:r>
      <w:r>
        <w:rPr>
          <w:lang w:val="en-GB"/>
        </w:rPr>
        <w:t>analysis to explain why the gas revolution is not easily reproducible in other parts of the world.</w:t>
      </w:r>
    </w:p>
    <w:p w:rsidR="00837C20" w:rsidRPr="007D79E2" w:rsidRDefault="007B1840" w:rsidP="00A06B12">
      <w:pPr>
        <w:ind w:firstLine="708"/>
        <w:rPr>
          <w:lang w:val="en-US"/>
        </w:rPr>
      </w:pPr>
      <w:r w:rsidRPr="007B1840">
        <w:rPr>
          <w:b/>
          <w:lang w:val="en-US"/>
        </w:rPr>
        <w:t xml:space="preserve">Mohammed </w:t>
      </w:r>
      <w:proofErr w:type="spellStart"/>
      <w:r w:rsidRPr="007B1840">
        <w:rPr>
          <w:b/>
          <w:lang w:val="en-US"/>
        </w:rPr>
        <w:t>Kaced</w:t>
      </w:r>
      <w:proofErr w:type="spellEnd"/>
      <w:r>
        <w:rPr>
          <w:lang w:val="en-US"/>
        </w:rPr>
        <w:t xml:space="preserve"> (</w:t>
      </w:r>
      <w:proofErr w:type="spellStart"/>
      <w:r>
        <w:rPr>
          <w:lang w:val="en-US"/>
        </w:rPr>
        <w:t>Sonatrach</w:t>
      </w:r>
      <w:proofErr w:type="spellEnd"/>
      <w:r>
        <w:rPr>
          <w:lang w:val="en-US"/>
        </w:rPr>
        <w:t xml:space="preserve">), study group leader, </w:t>
      </w:r>
      <w:r w:rsidR="00F6734A">
        <w:rPr>
          <w:lang w:val="en-US"/>
        </w:rPr>
        <w:t>wrapped up</w:t>
      </w:r>
      <w:r>
        <w:rPr>
          <w:lang w:val="en-US"/>
        </w:rPr>
        <w:t xml:space="preserve"> the results achieved</w:t>
      </w:r>
      <w:r w:rsidR="00F6734A">
        <w:rPr>
          <w:lang w:val="en-US"/>
        </w:rPr>
        <w:t xml:space="preserve"> by the group</w:t>
      </w:r>
      <w:r>
        <w:rPr>
          <w:lang w:val="en-US"/>
        </w:rPr>
        <w:t xml:space="preserve">. </w:t>
      </w:r>
      <w:r w:rsidR="00837C20">
        <w:rPr>
          <w:lang w:val="en-US"/>
        </w:rPr>
        <w:t xml:space="preserve">A first complete draft of the triennial report is expected by the time of the next committee meeting in 2014. </w:t>
      </w:r>
      <w:r w:rsidR="00F6734A">
        <w:rPr>
          <w:lang w:val="en-US"/>
        </w:rPr>
        <w:t>Delegates have also prepared a panel session proposal for the next WGC, which will be forwarded to the Coordination Committee</w:t>
      </w:r>
      <w:r w:rsidR="00D61132">
        <w:rPr>
          <w:lang w:val="en-US"/>
        </w:rPr>
        <w:t xml:space="preserve"> by the WOC 1 Secretariat</w:t>
      </w:r>
      <w:r w:rsidR="00F6734A">
        <w:rPr>
          <w:lang w:val="en-US"/>
        </w:rPr>
        <w:t xml:space="preserve"> after consolidation.</w:t>
      </w:r>
    </w:p>
    <w:p w:rsidR="00B25030" w:rsidRPr="00B25030" w:rsidRDefault="007D79E2" w:rsidP="00B25030">
      <w:pPr>
        <w:pStyle w:val="Ttulo2"/>
        <w:numPr>
          <w:ilvl w:val="1"/>
          <w:numId w:val="1"/>
        </w:numPr>
        <w:ind w:left="0" w:firstLine="0"/>
        <w:rPr>
          <w:lang w:val="en-US"/>
        </w:rPr>
      </w:pPr>
      <w:r>
        <w:rPr>
          <w:lang w:val="en-US"/>
        </w:rPr>
        <w:t>SG 1.3 Gas rent and mineral property rights</w:t>
      </w:r>
    </w:p>
    <w:p w:rsidR="00B25030" w:rsidRPr="006979CB" w:rsidRDefault="00B25030" w:rsidP="00B25030">
      <w:pPr>
        <w:ind w:firstLine="708"/>
        <w:rPr>
          <w:lang w:val="en-US"/>
        </w:rPr>
      </w:pPr>
      <w:r w:rsidRPr="008B4551">
        <w:rPr>
          <w:b/>
          <w:lang w:val="en-US"/>
        </w:rPr>
        <w:t>Marcos de Freitas Sugaya</w:t>
      </w:r>
      <w:r w:rsidRPr="00142B22">
        <w:rPr>
          <w:lang w:val="en-US"/>
        </w:rPr>
        <w:t xml:space="preserve"> (</w:t>
      </w:r>
      <w:proofErr w:type="spellStart"/>
      <w:r w:rsidRPr="00142B22">
        <w:rPr>
          <w:lang w:val="en-US"/>
        </w:rPr>
        <w:t>Petrobras</w:t>
      </w:r>
      <w:proofErr w:type="spellEnd"/>
      <w:r w:rsidRPr="00142B22">
        <w:rPr>
          <w:lang w:val="en-US"/>
        </w:rPr>
        <w:t>)</w:t>
      </w:r>
      <w:r>
        <w:rPr>
          <w:lang w:val="en-US"/>
        </w:rPr>
        <w:t>, study group leader, presented the results of the recent gas rent survey organized by the group, which was designed to assess the awareness and interests of the various IGU members. The existing fiscal systems have been considered to be satisfactory by most of the respondents, who did not seem to be very interested in the development of specific systems for gas. In addition to that, royalties were not generally perceived by them as an old fashioned instrument,</w:t>
      </w:r>
      <w:r w:rsidRPr="00837337">
        <w:rPr>
          <w:lang w:val="en-US"/>
        </w:rPr>
        <w:t xml:space="preserve"> </w:t>
      </w:r>
      <w:r>
        <w:rPr>
          <w:lang w:val="en-US"/>
        </w:rPr>
        <w:t>contrary to what is usually defended by some specialists in upstream taxation, so a strong effort must be developed to demonstrate the importance of the theme to the IGU community, especially gas producers, who could benefit significantly from progressive taxation schemes and uplifted depreciations</w:t>
      </w:r>
      <w:r w:rsidR="007D2E91">
        <w:rPr>
          <w:lang w:val="en-US"/>
        </w:rPr>
        <w:t xml:space="preserve">. Ultimately, </w:t>
      </w:r>
      <w:r>
        <w:rPr>
          <w:lang w:val="en-US"/>
        </w:rPr>
        <w:t xml:space="preserve">consumers would </w:t>
      </w:r>
      <w:r w:rsidR="007D2E91">
        <w:rPr>
          <w:lang w:val="en-US"/>
        </w:rPr>
        <w:t>benefit from that with</w:t>
      </w:r>
      <w:r>
        <w:rPr>
          <w:lang w:val="en-US"/>
        </w:rPr>
        <w:t xml:space="preserve"> access to lower gas prices.</w:t>
      </w:r>
    </w:p>
    <w:p w:rsidR="00655B89" w:rsidRDefault="00142B22" w:rsidP="00142B22">
      <w:pPr>
        <w:ind w:firstLine="708"/>
        <w:rPr>
          <w:lang w:val="en-US"/>
        </w:rPr>
      </w:pPr>
      <w:proofErr w:type="spellStart"/>
      <w:r w:rsidRPr="00142B22">
        <w:rPr>
          <w:b/>
          <w:lang w:val="en-US"/>
        </w:rPr>
        <w:t>Zainal</w:t>
      </w:r>
      <w:proofErr w:type="spellEnd"/>
      <w:r w:rsidRPr="00142B22">
        <w:rPr>
          <w:b/>
          <w:lang w:val="en-US"/>
        </w:rPr>
        <w:t xml:space="preserve"> </w:t>
      </w:r>
      <w:proofErr w:type="spellStart"/>
      <w:r w:rsidRPr="00142B22">
        <w:rPr>
          <w:b/>
          <w:lang w:val="en-US"/>
        </w:rPr>
        <w:t>Abidin</w:t>
      </w:r>
      <w:proofErr w:type="spellEnd"/>
      <w:r w:rsidRPr="00142B22">
        <w:rPr>
          <w:b/>
          <w:lang w:val="en-US"/>
        </w:rPr>
        <w:t xml:space="preserve"> </w:t>
      </w:r>
      <w:proofErr w:type="spellStart"/>
      <w:r w:rsidRPr="00142B22">
        <w:rPr>
          <w:b/>
          <w:lang w:val="en-US"/>
        </w:rPr>
        <w:t>Zainudin</w:t>
      </w:r>
      <w:proofErr w:type="spellEnd"/>
      <w:r>
        <w:rPr>
          <w:lang w:val="en-US"/>
        </w:rPr>
        <w:t xml:space="preserve"> (</w:t>
      </w:r>
      <w:proofErr w:type="spellStart"/>
      <w:r>
        <w:rPr>
          <w:lang w:val="en-US"/>
        </w:rPr>
        <w:t>Petronas</w:t>
      </w:r>
      <w:proofErr w:type="spellEnd"/>
      <w:r>
        <w:rPr>
          <w:lang w:val="en-US"/>
        </w:rPr>
        <w:t xml:space="preserve">) described the evolution and </w:t>
      </w:r>
      <w:r w:rsidR="00275716">
        <w:rPr>
          <w:lang w:val="en-US"/>
        </w:rPr>
        <w:t xml:space="preserve">some </w:t>
      </w:r>
      <w:r>
        <w:rPr>
          <w:lang w:val="en-US"/>
        </w:rPr>
        <w:t>perspectives for production sharing contracts</w:t>
      </w:r>
      <w:r w:rsidR="00776FB6">
        <w:rPr>
          <w:lang w:val="en-US"/>
        </w:rPr>
        <w:t xml:space="preserve"> in Malaysia</w:t>
      </w:r>
      <w:r>
        <w:rPr>
          <w:lang w:val="en-US"/>
        </w:rPr>
        <w:t>. They were conceived in 1973</w:t>
      </w:r>
      <w:r w:rsidR="00275716">
        <w:rPr>
          <w:lang w:val="en-US"/>
        </w:rPr>
        <w:t>,</w:t>
      </w:r>
      <w:r>
        <w:rPr>
          <w:lang w:val="en-US"/>
        </w:rPr>
        <w:t xml:space="preserve"> in the aftermath of the first oil crisis, to protect the country resources, and suffered significant modifications in 1985 and 1997 to </w:t>
      </w:r>
      <w:r w:rsidR="00776FB6">
        <w:rPr>
          <w:lang w:val="en-US"/>
        </w:rPr>
        <w:t>encourage new investments</w:t>
      </w:r>
      <w:r w:rsidR="00FB1E31">
        <w:rPr>
          <w:lang w:val="en-US"/>
        </w:rPr>
        <w:t xml:space="preserve">. </w:t>
      </w:r>
      <w:r w:rsidR="00275716">
        <w:rPr>
          <w:lang w:val="en-US"/>
        </w:rPr>
        <w:t>The number of contracts has increased continuously after then, but gas reserves seem to have remained relatively stable over the last few years</w:t>
      </w:r>
      <w:r w:rsidR="000D6A85">
        <w:rPr>
          <w:lang w:val="en-US"/>
        </w:rPr>
        <w:t xml:space="preserve">. Incentives to spur gas </w:t>
      </w:r>
      <w:r w:rsidR="00776FB6">
        <w:rPr>
          <w:lang w:val="en-US"/>
        </w:rPr>
        <w:t>production</w:t>
      </w:r>
      <w:r w:rsidR="00C772F2">
        <w:rPr>
          <w:lang w:val="en-US"/>
        </w:rPr>
        <w:t xml:space="preserve"> include lower tax rates and faster depreciation for marginal fields</w:t>
      </w:r>
      <w:r w:rsidR="00937BC2">
        <w:rPr>
          <w:lang w:val="en-US"/>
        </w:rPr>
        <w:t>. A</w:t>
      </w:r>
      <w:r w:rsidR="00C772F2">
        <w:rPr>
          <w:lang w:val="en-US"/>
        </w:rPr>
        <w:t>dditional tax allowance</w:t>
      </w:r>
      <w:r w:rsidR="00776FB6">
        <w:rPr>
          <w:lang w:val="en-US"/>
        </w:rPr>
        <w:t>s</w:t>
      </w:r>
      <w:r w:rsidR="00937BC2">
        <w:rPr>
          <w:lang w:val="en-US"/>
        </w:rPr>
        <w:t xml:space="preserve"> have also been provided</w:t>
      </w:r>
      <w:r w:rsidR="00C772F2">
        <w:rPr>
          <w:lang w:val="en-US"/>
        </w:rPr>
        <w:t xml:space="preserve"> for fields with high CO</w:t>
      </w:r>
      <w:r w:rsidR="00C772F2" w:rsidRPr="00776FB6">
        <w:rPr>
          <w:vertAlign w:val="subscript"/>
          <w:lang w:val="en-US"/>
        </w:rPr>
        <w:t>2</w:t>
      </w:r>
      <w:r w:rsidR="00C772F2">
        <w:rPr>
          <w:lang w:val="en-US"/>
        </w:rPr>
        <w:t xml:space="preserve"> content,</w:t>
      </w:r>
      <w:r w:rsidR="00776FB6">
        <w:rPr>
          <w:lang w:val="en-US"/>
        </w:rPr>
        <w:t xml:space="preserve"> production in deep waters and </w:t>
      </w:r>
      <w:r w:rsidR="00937BC2">
        <w:rPr>
          <w:lang w:val="en-US"/>
        </w:rPr>
        <w:t xml:space="preserve">reservoirs </w:t>
      </w:r>
      <w:r w:rsidR="00776FB6">
        <w:rPr>
          <w:lang w:val="en-US"/>
        </w:rPr>
        <w:t>at</w:t>
      </w:r>
      <w:r w:rsidR="00C772F2">
        <w:rPr>
          <w:lang w:val="en-US"/>
        </w:rPr>
        <w:t xml:space="preserve"> high pressure</w:t>
      </w:r>
      <w:r w:rsidR="00776FB6">
        <w:rPr>
          <w:lang w:val="en-US"/>
        </w:rPr>
        <w:t>s</w:t>
      </w:r>
      <w:r w:rsidR="00C772F2">
        <w:rPr>
          <w:lang w:val="en-US"/>
        </w:rPr>
        <w:t xml:space="preserve"> and temperature</w:t>
      </w:r>
      <w:r w:rsidR="00776FB6">
        <w:rPr>
          <w:lang w:val="en-US"/>
        </w:rPr>
        <w:t>s</w:t>
      </w:r>
      <w:r w:rsidR="00C772F2">
        <w:rPr>
          <w:lang w:val="en-US"/>
        </w:rPr>
        <w:t xml:space="preserve">. </w:t>
      </w:r>
    </w:p>
    <w:p w:rsidR="006B7807" w:rsidRDefault="006B7807" w:rsidP="00142B22">
      <w:pPr>
        <w:ind w:firstLine="708"/>
        <w:rPr>
          <w:lang w:val="en-US"/>
        </w:rPr>
      </w:pPr>
      <w:r w:rsidRPr="006B7807">
        <w:rPr>
          <w:b/>
          <w:lang w:val="en-US"/>
        </w:rPr>
        <w:t>Mich</w:t>
      </w:r>
      <w:r>
        <w:rPr>
          <w:b/>
          <w:lang w:val="en-US"/>
        </w:rPr>
        <w:t>a</w:t>
      </w:r>
      <w:r w:rsidRPr="006B7807">
        <w:rPr>
          <w:b/>
          <w:lang w:val="en-US"/>
        </w:rPr>
        <w:t>el Lee</w:t>
      </w:r>
      <w:r>
        <w:rPr>
          <w:lang w:val="en-US"/>
        </w:rPr>
        <w:t xml:space="preserve"> (</w:t>
      </w:r>
      <w:proofErr w:type="spellStart"/>
      <w:r>
        <w:rPr>
          <w:lang w:val="en-US"/>
        </w:rPr>
        <w:t>Kogas</w:t>
      </w:r>
      <w:proofErr w:type="spellEnd"/>
      <w:r>
        <w:rPr>
          <w:lang w:val="en-US"/>
        </w:rPr>
        <w:t>) continued</w:t>
      </w:r>
      <w:r w:rsidR="006F0CB7">
        <w:rPr>
          <w:lang w:val="en-US"/>
        </w:rPr>
        <w:t xml:space="preserve"> with</w:t>
      </w:r>
      <w:r>
        <w:rPr>
          <w:lang w:val="en-US"/>
        </w:rPr>
        <w:t xml:space="preserve"> the studies </w:t>
      </w:r>
      <w:r w:rsidR="00937BC2">
        <w:rPr>
          <w:lang w:val="en-US"/>
        </w:rPr>
        <w:t xml:space="preserve">previously </w:t>
      </w:r>
      <w:r>
        <w:rPr>
          <w:lang w:val="en-US"/>
        </w:rPr>
        <w:t>p</w:t>
      </w:r>
      <w:r w:rsidR="006F0CB7">
        <w:rPr>
          <w:lang w:val="en-US"/>
        </w:rPr>
        <w:t>resented</w:t>
      </w:r>
      <w:r>
        <w:rPr>
          <w:lang w:val="en-US"/>
        </w:rPr>
        <w:t xml:space="preserve"> </w:t>
      </w:r>
      <w:r w:rsidR="00CF764F">
        <w:rPr>
          <w:lang w:val="en-US"/>
        </w:rPr>
        <w:t xml:space="preserve">by </w:t>
      </w:r>
      <w:proofErr w:type="spellStart"/>
      <w:r>
        <w:rPr>
          <w:lang w:val="en-US"/>
        </w:rPr>
        <w:t>Ik</w:t>
      </w:r>
      <w:proofErr w:type="spellEnd"/>
      <w:r>
        <w:rPr>
          <w:lang w:val="en-US"/>
        </w:rPr>
        <w:t xml:space="preserve">-Hyun Park </w:t>
      </w:r>
      <w:r w:rsidR="006F0CB7">
        <w:rPr>
          <w:lang w:val="en-US"/>
        </w:rPr>
        <w:t>on</w:t>
      </w:r>
      <w:r w:rsidR="00CF764F">
        <w:rPr>
          <w:lang w:val="en-US"/>
        </w:rPr>
        <w:t xml:space="preserve"> the fiscal systems of Mozambique and Tanzania</w:t>
      </w:r>
      <w:r>
        <w:rPr>
          <w:lang w:val="en-US"/>
        </w:rPr>
        <w:t>.</w:t>
      </w:r>
      <w:r w:rsidR="00CF764F">
        <w:rPr>
          <w:lang w:val="en-US"/>
        </w:rPr>
        <w:t xml:space="preserve"> In Mozambique</w:t>
      </w:r>
      <w:r w:rsidR="00E618DB">
        <w:rPr>
          <w:lang w:val="en-US"/>
        </w:rPr>
        <w:t xml:space="preserve"> corporate income tax is </w:t>
      </w:r>
      <w:r w:rsidR="006F0CB7">
        <w:rPr>
          <w:lang w:val="en-US"/>
        </w:rPr>
        <w:t xml:space="preserve">at </w:t>
      </w:r>
      <w:r w:rsidR="00E618DB">
        <w:rPr>
          <w:lang w:val="en-US"/>
        </w:rPr>
        <w:t>32%</w:t>
      </w:r>
      <w:r w:rsidR="006F0CB7">
        <w:rPr>
          <w:lang w:val="en-US"/>
        </w:rPr>
        <w:t>,</w:t>
      </w:r>
      <w:r w:rsidR="00E618DB">
        <w:rPr>
          <w:lang w:val="en-US"/>
        </w:rPr>
        <w:t xml:space="preserve"> and cost recovery is limited to 65% of the revenues after royalties</w:t>
      </w:r>
      <w:r w:rsidR="006F0CB7">
        <w:rPr>
          <w:lang w:val="en-US"/>
        </w:rPr>
        <w:t>, but these are charged at 6% for gas and 10% for</w:t>
      </w:r>
      <w:r w:rsidR="00E618DB">
        <w:rPr>
          <w:lang w:val="en-US"/>
        </w:rPr>
        <w:t xml:space="preserve"> oil. In Tanzania</w:t>
      </w:r>
      <w:r w:rsidR="006F0CB7">
        <w:rPr>
          <w:lang w:val="en-US"/>
        </w:rPr>
        <w:t xml:space="preserve"> there is no distinction between oil and gas, and </w:t>
      </w:r>
      <w:proofErr w:type="spellStart"/>
      <w:r w:rsidR="006F0CB7">
        <w:rPr>
          <w:lang w:val="en-US"/>
        </w:rPr>
        <w:t>a</w:t>
      </w:r>
      <w:proofErr w:type="spellEnd"/>
      <w:r w:rsidR="006F0CB7">
        <w:rPr>
          <w:lang w:val="en-US"/>
        </w:rPr>
        <w:t xml:space="preserve"> tax on profits is </w:t>
      </w:r>
      <w:r w:rsidR="00937BC2">
        <w:rPr>
          <w:lang w:val="en-US"/>
        </w:rPr>
        <w:t>applicable</w:t>
      </w:r>
      <w:r w:rsidR="006F0CB7">
        <w:rPr>
          <w:lang w:val="en-US"/>
        </w:rPr>
        <w:t xml:space="preserve"> when high rates of return </w:t>
      </w:r>
      <w:r w:rsidR="00937BC2">
        <w:rPr>
          <w:lang w:val="en-US"/>
        </w:rPr>
        <w:t>occur</w:t>
      </w:r>
      <w:r w:rsidR="006F0CB7">
        <w:rPr>
          <w:lang w:val="en-US"/>
        </w:rPr>
        <w:t xml:space="preserve">. A case study was </w:t>
      </w:r>
      <w:r w:rsidR="00D56D43">
        <w:rPr>
          <w:lang w:val="en-US"/>
        </w:rPr>
        <w:t>presented for the production of gas in deep waters, in which Tanzania resulted less attractive</w:t>
      </w:r>
      <w:r w:rsidR="00937BC2">
        <w:rPr>
          <w:lang w:val="en-US"/>
        </w:rPr>
        <w:t xml:space="preserve"> as compared to Mozambique</w:t>
      </w:r>
      <w:r w:rsidR="00D56D43">
        <w:rPr>
          <w:lang w:val="en-US"/>
        </w:rPr>
        <w:t xml:space="preserve">, especially </w:t>
      </w:r>
      <w:r w:rsidR="00937BC2">
        <w:rPr>
          <w:lang w:val="en-US"/>
        </w:rPr>
        <w:t>if</w:t>
      </w:r>
      <w:r w:rsidR="00D56D43">
        <w:rPr>
          <w:lang w:val="en-US"/>
        </w:rPr>
        <w:t xml:space="preserve"> the recoverable reserves </w:t>
      </w:r>
      <w:r w:rsidR="00937BC2">
        <w:rPr>
          <w:lang w:val="en-US"/>
        </w:rPr>
        <w:t>are huge</w:t>
      </w:r>
      <w:r w:rsidR="00D56D43">
        <w:rPr>
          <w:lang w:val="en-US"/>
        </w:rPr>
        <w:t>. A suggestion was made to decrease the government take at</w:t>
      </w:r>
      <w:r w:rsidR="00B25030">
        <w:rPr>
          <w:lang w:val="en-US"/>
        </w:rPr>
        <w:t xml:space="preserve"> </w:t>
      </w:r>
      <w:r w:rsidR="00937BC2">
        <w:rPr>
          <w:lang w:val="en-US"/>
        </w:rPr>
        <w:t>when the volumes involved are smaller</w:t>
      </w:r>
      <w:r w:rsidR="00B25030">
        <w:rPr>
          <w:lang w:val="en-US"/>
        </w:rPr>
        <w:t xml:space="preserve">. </w:t>
      </w:r>
    </w:p>
    <w:p w:rsidR="00B25030" w:rsidRDefault="00B25030" w:rsidP="00142B22">
      <w:pPr>
        <w:ind w:firstLine="708"/>
        <w:rPr>
          <w:lang w:val="en-US"/>
        </w:rPr>
      </w:pPr>
      <w:r w:rsidRPr="00B25030">
        <w:rPr>
          <w:b/>
          <w:lang w:val="en-US"/>
        </w:rPr>
        <w:t>Alexey Semenov</w:t>
      </w:r>
      <w:r>
        <w:rPr>
          <w:lang w:val="en-US"/>
        </w:rPr>
        <w:t xml:space="preserve"> (Gazprom) presented on incentives that are </w:t>
      </w:r>
      <w:r w:rsidR="00472A7A">
        <w:rPr>
          <w:lang w:val="en-US"/>
        </w:rPr>
        <w:t xml:space="preserve">currently </w:t>
      </w:r>
      <w:r>
        <w:rPr>
          <w:lang w:val="en-US"/>
        </w:rPr>
        <w:t xml:space="preserve">under discussion in Russia to stimulate offshore investment, especially in the Artic, where deep waters, long distances and other challenging conditions occur. </w:t>
      </w:r>
      <w:r w:rsidR="00E8324F">
        <w:rPr>
          <w:lang w:val="en-US"/>
        </w:rPr>
        <w:t>The</w:t>
      </w:r>
      <w:r w:rsidR="00937BC2">
        <w:rPr>
          <w:lang w:val="en-US"/>
        </w:rPr>
        <w:t xml:space="preserve"> new regime</w:t>
      </w:r>
      <w:r w:rsidR="0078485F">
        <w:rPr>
          <w:lang w:val="en-US"/>
        </w:rPr>
        <w:t xml:space="preserve"> proposed</w:t>
      </w:r>
      <w:r w:rsidR="00E8324F">
        <w:rPr>
          <w:lang w:val="en-US"/>
        </w:rPr>
        <w:t xml:space="preserve"> consider</w:t>
      </w:r>
      <w:r w:rsidR="00937BC2">
        <w:rPr>
          <w:lang w:val="en-US"/>
        </w:rPr>
        <w:t>s</w:t>
      </w:r>
      <w:r w:rsidR="00472A7A">
        <w:rPr>
          <w:lang w:val="en-US"/>
        </w:rPr>
        <w:t xml:space="preserve"> regional differences and tax holiday periods on top of a reduction in the mineral extraction tax</w:t>
      </w:r>
      <w:r w:rsidR="0078485F">
        <w:rPr>
          <w:lang w:val="en-US"/>
        </w:rPr>
        <w:t>.</w:t>
      </w:r>
    </w:p>
    <w:p w:rsidR="00E8324F" w:rsidRDefault="00E8324F" w:rsidP="00142B22">
      <w:pPr>
        <w:ind w:firstLine="708"/>
        <w:rPr>
          <w:lang w:val="en-US"/>
        </w:rPr>
      </w:pPr>
      <w:proofErr w:type="spellStart"/>
      <w:r w:rsidRPr="00E8324F">
        <w:rPr>
          <w:b/>
          <w:lang w:val="en-US"/>
        </w:rPr>
        <w:t>Liliane</w:t>
      </w:r>
      <w:proofErr w:type="spellEnd"/>
      <w:r w:rsidRPr="00E8324F">
        <w:rPr>
          <w:b/>
          <w:lang w:val="en-US"/>
        </w:rPr>
        <w:t xml:space="preserve"> </w:t>
      </w:r>
      <w:proofErr w:type="spellStart"/>
      <w:r w:rsidRPr="00E8324F">
        <w:rPr>
          <w:b/>
          <w:lang w:val="en-US"/>
        </w:rPr>
        <w:t>Wietzerbin</w:t>
      </w:r>
      <w:proofErr w:type="spellEnd"/>
      <w:r w:rsidR="00BA5C1C">
        <w:rPr>
          <w:b/>
          <w:lang w:val="en-US"/>
        </w:rPr>
        <w:t xml:space="preserve"> and Vincent </w:t>
      </w:r>
      <w:proofErr w:type="spellStart"/>
      <w:r w:rsidR="00BA5C1C">
        <w:rPr>
          <w:b/>
          <w:lang w:val="en-US"/>
        </w:rPr>
        <w:t>Trocme</w:t>
      </w:r>
      <w:proofErr w:type="spellEnd"/>
      <w:r>
        <w:rPr>
          <w:lang w:val="en-US"/>
        </w:rPr>
        <w:t xml:space="preserve"> (GDF Suez) could not attend this meeting, but kindly prepared an interesting contribution on </w:t>
      </w:r>
      <w:r w:rsidR="000B5944">
        <w:rPr>
          <w:lang w:val="en-US"/>
        </w:rPr>
        <w:t xml:space="preserve">how </w:t>
      </w:r>
      <w:r>
        <w:rPr>
          <w:lang w:val="en-US"/>
        </w:rPr>
        <w:t>fiscal regimes</w:t>
      </w:r>
      <w:r w:rsidR="00BA5C1C">
        <w:rPr>
          <w:lang w:val="en-US"/>
        </w:rPr>
        <w:t xml:space="preserve"> can be</w:t>
      </w:r>
      <w:r w:rsidR="0078485F">
        <w:rPr>
          <w:lang w:val="en-US"/>
        </w:rPr>
        <w:t xml:space="preserve"> designed to be</w:t>
      </w:r>
      <w:r w:rsidR="00BA5C1C">
        <w:rPr>
          <w:lang w:val="en-US"/>
        </w:rPr>
        <w:t xml:space="preserve"> flexible </w:t>
      </w:r>
      <w:r w:rsidR="0078485F">
        <w:rPr>
          <w:lang w:val="en-US"/>
        </w:rPr>
        <w:t>and at the same time stable enough for investors</w:t>
      </w:r>
      <w:r>
        <w:rPr>
          <w:lang w:val="en-US"/>
        </w:rPr>
        <w:t xml:space="preserve">. In the Netherlands, </w:t>
      </w:r>
      <w:r w:rsidR="00022C8F">
        <w:rPr>
          <w:lang w:val="en-US"/>
        </w:rPr>
        <w:t xml:space="preserve">for example, </w:t>
      </w:r>
      <w:r>
        <w:rPr>
          <w:lang w:val="en-US"/>
        </w:rPr>
        <w:t xml:space="preserve">where production </w:t>
      </w:r>
      <w:r w:rsidR="00022804">
        <w:rPr>
          <w:lang w:val="en-US"/>
        </w:rPr>
        <w:t xml:space="preserve">is already mature, a number of incentives have been adopted </w:t>
      </w:r>
      <w:r w:rsidR="00022C8F">
        <w:rPr>
          <w:lang w:val="en-US"/>
        </w:rPr>
        <w:t xml:space="preserve">to </w:t>
      </w:r>
      <w:r w:rsidR="007F4C80">
        <w:rPr>
          <w:lang w:val="en-US"/>
        </w:rPr>
        <w:t>maintain the production</w:t>
      </w:r>
      <w:r w:rsidR="00022C8F">
        <w:rPr>
          <w:lang w:val="en-US"/>
        </w:rPr>
        <w:t xml:space="preserve"> levels</w:t>
      </w:r>
      <w:r w:rsidR="00022804">
        <w:rPr>
          <w:lang w:val="en-US"/>
        </w:rPr>
        <w:t xml:space="preserve">, </w:t>
      </w:r>
      <w:r w:rsidR="007F4C80">
        <w:rPr>
          <w:lang w:val="en-US"/>
        </w:rPr>
        <w:t>including</w:t>
      </w:r>
      <w:r w:rsidR="00022804">
        <w:rPr>
          <w:lang w:val="en-US"/>
        </w:rPr>
        <w:t xml:space="preserve"> purchase guarantees and </w:t>
      </w:r>
      <w:r w:rsidR="00022C8F">
        <w:rPr>
          <w:lang w:val="en-US"/>
        </w:rPr>
        <w:t xml:space="preserve">a </w:t>
      </w:r>
      <w:r w:rsidR="00022804">
        <w:rPr>
          <w:lang w:val="en-US"/>
        </w:rPr>
        <w:t>government</w:t>
      </w:r>
      <w:r w:rsidR="00022C8F">
        <w:rPr>
          <w:lang w:val="en-US"/>
        </w:rPr>
        <w:t>al</w:t>
      </w:r>
      <w:r w:rsidR="00022804">
        <w:rPr>
          <w:lang w:val="en-US"/>
        </w:rPr>
        <w:t xml:space="preserve"> </w:t>
      </w:r>
      <w:r w:rsidR="00022C8F">
        <w:rPr>
          <w:lang w:val="en-US"/>
        </w:rPr>
        <w:t>help</w:t>
      </w:r>
      <w:r w:rsidR="00022804">
        <w:rPr>
          <w:lang w:val="en-US"/>
        </w:rPr>
        <w:t xml:space="preserve"> to the exploratory effort. In the UK </w:t>
      </w:r>
      <w:r w:rsidR="000B5944">
        <w:rPr>
          <w:lang w:val="en-US"/>
        </w:rPr>
        <w:t>f</w:t>
      </w:r>
      <w:r w:rsidR="00022C8F">
        <w:rPr>
          <w:lang w:val="en-US"/>
        </w:rPr>
        <w:t xml:space="preserve">iscal incentives have been </w:t>
      </w:r>
      <w:r w:rsidR="000B5944">
        <w:rPr>
          <w:lang w:val="en-US"/>
        </w:rPr>
        <w:t>quickly adapted to new price and technical conditions</w:t>
      </w:r>
      <w:r w:rsidR="00BA5C1C">
        <w:rPr>
          <w:lang w:val="en-US"/>
        </w:rPr>
        <w:t xml:space="preserve">, including </w:t>
      </w:r>
      <w:r w:rsidR="000B5944">
        <w:rPr>
          <w:lang w:val="en-US"/>
        </w:rPr>
        <w:t xml:space="preserve">marginal </w:t>
      </w:r>
      <w:r w:rsidR="00BA5C1C">
        <w:rPr>
          <w:lang w:val="en-US"/>
        </w:rPr>
        <w:t>fields</w:t>
      </w:r>
      <w:r w:rsidR="000B5944">
        <w:rPr>
          <w:lang w:val="en-US"/>
        </w:rPr>
        <w:t xml:space="preserve">, heavy oil, high temperature and pressure fields, deep water and shale gas. </w:t>
      </w:r>
      <w:r w:rsidR="00BA5C1C">
        <w:rPr>
          <w:lang w:val="en-US"/>
        </w:rPr>
        <w:t>C</w:t>
      </w:r>
      <w:r w:rsidR="000B5944">
        <w:rPr>
          <w:lang w:val="en-US"/>
        </w:rPr>
        <w:t xml:space="preserve">hanges are </w:t>
      </w:r>
      <w:r w:rsidR="00BA5C1C">
        <w:rPr>
          <w:lang w:val="en-US"/>
        </w:rPr>
        <w:t xml:space="preserve">never </w:t>
      </w:r>
      <w:r w:rsidR="000B5944">
        <w:rPr>
          <w:lang w:val="en-US"/>
        </w:rPr>
        <w:t>introduced without consultin</w:t>
      </w:r>
      <w:r w:rsidR="00BA5C1C">
        <w:rPr>
          <w:lang w:val="en-US"/>
        </w:rPr>
        <w:t>g</w:t>
      </w:r>
      <w:r w:rsidR="000B5944">
        <w:rPr>
          <w:lang w:val="en-US"/>
        </w:rPr>
        <w:t xml:space="preserve"> t</w:t>
      </w:r>
      <w:r w:rsidR="00BA5C1C">
        <w:rPr>
          <w:lang w:val="en-US"/>
        </w:rPr>
        <w:t>he</w:t>
      </w:r>
      <w:r w:rsidR="000B5944">
        <w:rPr>
          <w:lang w:val="en-US"/>
        </w:rPr>
        <w:t xml:space="preserve"> stakeholders</w:t>
      </w:r>
      <w:r w:rsidR="0078485F">
        <w:rPr>
          <w:lang w:val="en-US"/>
        </w:rPr>
        <w:t>,</w:t>
      </w:r>
      <w:r w:rsidR="00BA5C1C">
        <w:rPr>
          <w:lang w:val="en-US"/>
        </w:rPr>
        <w:t xml:space="preserve"> in order to</w:t>
      </w:r>
      <w:r w:rsidR="000B5944">
        <w:rPr>
          <w:lang w:val="en-US"/>
        </w:rPr>
        <w:t xml:space="preserve"> avoid instabilities that could</w:t>
      </w:r>
      <w:r w:rsidR="00BA5C1C">
        <w:rPr>
          <w:lang w:val="en-US"/>
        </w:rPr>
        <w:t xml:space="preserve"> ultimately</w:t>
      </w:r>
      <w:r w:rsidR="000B5944">
        <w:rPr>
          <w:lang w:val="en-US"/>
        </w:rPr>
        <w:t xml:space="preserve"> hamper investment.</w:t>
      </w:r>
    </w:p>
    <w:p w:rsidR="00BA5C1C" w:rsidRDefault="00BA5C1C" w:rsidP="00142B22">
      <w:pPr>
        <w:ind w:firstLine="708"/>
        <w:rPr>
          <w:lang w:val="en-US"/>
        </w:rPr>
      </w:pPr>
      <w:r>
        <w:rPr>
          <w:lang w:val="en-US"/>
        </w:rPr>
        <w:t>The Thai members in the committee have kindly arran</w:t>
      </w:r>
      <w:r w:rsidR="0078485F">
        <w:rPr>
          <w:lang w:val="en-US"/>
        </w:rPr>
        <w:t>ged for a presentation forwarded from</w:t>
      </w:r>
      <w:r>
        <w:rPr>
          <w:lang w:val="en-US"/>
        </w:rPr>
        <w:t xml:space="preserve"> the</w:t>
      </w:r>
      <w:r w:rsidR="00827E77">
        <w:rPr>
          <w:lang w:val="en-US"/>
        </w:rPr>
        <w:t>ir</w:t>
      </w:r>
      <w:r>
        <w:rPr>
          <w:lang w:val="en-US"/>
        </w:rPr>
        <w:t xml:space="preserve"> </w:t>
      </w:r>
      <w:r w:rsidRPr="00BA5C1C">
        <w:rPr>
          <w:b/>
          <w:lang w:val="en-US"/>
        </w:rPr>
        <w:t>Department of Mineral Fuels</w:t>
      </w:r>
      <w:r>
        <w:rPr>
          <w:lang w:val="en-US"/>
        </w:rPr>
        <w:t>. Gas answers for 45% of the energy mix there</w:t>
      </w:r>
      <w:r w:rsidR="00827E77">
        <w:rPr>
          <w:lang w:val="en-US"/>
        </w:rPr>
        <w:t>, and most of it is produced in the country</w:t>
      </w:r>
      <w:r>
        <w:rPr>
          <w:lang w:val="en-US"/>
        </w:rPr>
        <w:t xml:space="preserve">. </w:t>
      </w:r>
      <w:r w:rsidR="008718DB">
        <w:rPr>
          <w:lang w:val="en-US"/>
        </w:rPr>
        <w:t>Producers must pay a</w:t>
      </w:r>
      <w:r w:rsidR="00422981">
        <w:rPr>
          <w:lang w:val="en-US"/>
        </w:rPr>
        <w:t xml:space="preserve"> </w:t>
      </w:r>
      <w:r w:rsidR="00827E77">
        <w:rPr>
          <w:lang w:val="en-US"/>
        </w:rPr>
        <w:t xml:space="preserve">special </w:t>
      </w:r>
      <w:proofErr w:type="spellStart"/>
      <w:r w:rsidR="00827E77">
        <w:rPr>
          <w:lang w:val="en-US"/>
        </w:rPr>
        <w:t>remuneratory</w:t>
      </w:r>
      <w:proofErr w:type="spellEnd"/>
      <w:r w:rsidR="00827E77">
        <w:rPr>
          <w:lang w:val="en-US"/>
        </w:rPr>
        <w:t xml:space="preserve"> benefit (SRB)</w:t>
      </w:r>
      <w:r w:rsidR="008718DB">
        <w:rPr>
          <w:lang w:val="en-US"/>
        </w:rPr>
        <w:t>, which</w:t>
      </w:r>
      <w:r w:rsidR="00827E77">
        <w:rPr>
          <w:lang w:val="en-US"/>
        </w:rPr>
        <w:t xml:space="preserve"> </w:t>
      </w:r>
      <w:r w:rsidR="008718DB">
        <w:rPr>
          <w:lang w:val="en-US"/>
        </w:rPr>
        <w:t xml:space="preserve">is </w:t>
      </w:r>
      <w:r w:rsidR="00827E77">
        <w:rPr>
          <w:lang w:val="en-US"/>
        </w:rPr>
        <w:t>applie</w:t>
      </w:r>
      <w:r w:rsidR="008718DB">
        <w:rPr>
          <w:lang w:val="en-US"/>
        </w:rPr>
        <w:t>d</w:t>
      </w:r>
      <w:r w:rsidR="00827E77">
        <w:rPr>
          <w:lang w:val="en-US"/>
        </w:rPr>
        <w:t xml:space="preserve"> at a maximum of 75% as a windfall profit tax</w:t>
      </w:r>
      <w:r w:rsidR="008718DB">
        <w:rPr>
          <w:lang w:val="en-US"/>
        </w:rPr>
        <w:t xml:space="preserve">. There is also a </w:t>
      </w:r>
      <w:r w:rsidR="00827E77">
        <w:rPr>
          <w:lang w:val="en-US"/>
        </w:rPr>
        <w:t>petroleum income tax of 50%</w:t>
      </w:r>
      <w:r w:rsidR="008718DB">
        <w:rPr>
          <w:lang w:val="en-US"/>
        </w:rPr>
        <w:t xml:space="preserve"> and royalty rates of 5% to 15%</w:t>
      </w:r>
      <w:r w:rsidR="00827E77">
        <w:rPr>
          <w:lang w:val="en-US"/>
        </w:rPr>
        <w:t>.</w:t>
      </w:r>
      <w:r w:rsidR="00422981">
        <w:rPr>
          <w:lang w:val="en-US"/>
        </w:rPr>
        <w:t xml:space="preserve"> </w:t>
      </w:r>
      <w:r w:rsidR="0005627E">
        <w:rPr>
          <w:lang w:val="en-US"/>
        </w:rPr>
        <w:t>In the joint development area with Malaysia (JDA)</w:t>
      </w:r>
      <w:r w:rsidR="0078485F">
        <w:rPr>
          <w:lang w:val="en-US"/>
        </w:rPr>
        <w:t>,</w:t>
      </w:r>
      <w:r w:rsidR="008718DB" w:rsidRPr="008718DB">
        <w:rPr>
          <w:lang w:val="en-US"/>
        </w:rPr>
        <w:t xml:space="preserve"> </w:t>
      </w:r>
      <w:r w:rsidR="008718DB">
        <w:rPr>
          <w:lang w:val="en-US"/>
        </w:rPr>
        <w:t xml:space="preserve">company share is </w:t>
      </w:r>
      <w:r w:rsidR="0078485F">
        <w:rPr>
          <w:lang w:val="en-US"/>
        </w:rPr>
        <w:t xml:space="preserve">at </w:t>
      </w:r>
      <w:r w:rsidR="008718DB">
        <w:rPr>
          <w:lang w:val="en-US"/>
        </w:rPr>
        <w:t>50%, but export duties of 10% apply. T</w:t>
      </w:r>
      <w:r w:rsidR="0005627E">
        <w:rPr>
          <w:lang w:val="en-US"/>
        </w:rPr>
        <w:t>he royalty rate</w:t>
      </w:r>
      <w:r w:rsidR="008718DB">
        <w:rPr>
          <w:lang w:val="en-US"/>
        </w:rPr>
        <w:t xml:space="preserve"> there</w:t>
      </w:r>
      <w:r w:rsidR="0005627E">
        <w:rPr>
          <w:lang w:val="en-US"/>
        </w:rPr>
        <w:t xml:space="preserve"> is 10%</w:t>
      </w:r>
      <w:r w:rsidR="008718DB">
        <w:rPr>
          <w:lang w:val="en-US"/>
        </w:rPr>
        <w:t>,</w:t>
      </w:r>
      <w:r w:rsidR="0005627E">
        <w:rPr>
          <w:lang w:val="en-US"/>
        </w:rPr>
        <w:t xml:space="preserve"> </w:t>
      </w:r>
      <w:r w:rsidR="008718DB">
        <w:rPr>
          <w:lang w:val="en-US"/>
        </w:rPr>
        <w:t>and</w:t>
      </w:r>
      <w:r w:rsidR="0005627E">
        <w:rPr>
          <w:lang w:val="en-US"/>
        </w:rPr>
        <w:t xml:space="preserve"> the petroleum income tax </w:t>
      </w:r>
      <w:r w:rsidR="00DA3EE4">
        <w:rPr>
          <w:lang w:val="en-US"/>
        </w:rPr>
        <w:t>goes</w:t>
      </w:r>
      <w:r w:rsidR="008718DB">
        <w:rPr>
          <w:lang w:val="en-US"/>
        </w:rPr>
        <w:t xml:space="preserve"> from</w:t>
      </w:r>
      <w:r w:rsidR="0005627E">
        <w:rPr>
          <w:lang w:val="en-US"/>
        </w:rPr>
        <w:t xml:space="preserve"> 0</w:t>
      </w:r>
      <w:r w:rsidR="008718DB">
        <w:rPr>
          <w:lang w:val="en-US"/>
        </w:rPr>
        <w:t>% to 10% after 8 years of production</w:t>
      </w:r>
      <w:r w:rsidR="00DA3EE4">
        <w:rPr>
          <w:lang w:val="en-US"/>
        </w:rPr>
        <w:t xml:space="preserve">, and </w:t>
      </w:r>
      <w:r w:rsidR="0005627E">
        <w:rPr>
          <w:lang w:val="en-US"/>
        </w:rPr>
        <w:t>20%</w:t>
      </w:r>
      <w:r w:rsidR="008718DB">
        <w:rPr>
          <w:lang w:val="en-US"/>
        </w:rPr>
        <w:t xml:space="preserve"> after 15 years</w:t>
      </w:r>
      <w:r w:rsidR="0005627E">
        <w:rPr>
          <w:lang w:val="en-US"/>
        </w:rPr>
        <w:t xml:space="preserve">. </w:t>
      </w:r>
    </w:p>
    <w:p w:rsidR="002563F7" w:rsidRPr="002563F7" w:rsidRDefault="002563F7" w:rsidP="00142B22">
      <w:pPr>
        <w:ind w:firstLine="708"/>
        <w:rPr>
          <w:lang w:val="en-GB"/>
        </w:rPr>
      </w:pPr>
      <w:r w:rsidRPr="002563F7">
        <w:rPr>
          <w:b/>
          <w:lang w:val="en-GB"/>
        </w:rPr>
        <w:t>Marcos de Freitas Sugaya</w:t>
      </w:r>
      <w:r w:rsidRPr="002563F7">
        <w:rPr>
          <w:lang w:val="en-GB"/>
        </w:rPr>
        <w:t xml:space="preserve"> (</w:t>
      </w:r>
      <w:proofErr w:type="spellStart"/>
      <w:r w:rsidRPr="002563F7">
        <w:rPr>
          <w:lang w:val="en-GB"/>
        </w:rPr>
        <w:t>Petrobras</w:t>
      </w:r>
      <w:proofErr w:type="spellEnd"/>
      <w:r w:rsidRPr="002563F7">
        <w:rPr>
          <w:lang w:val="en-GB"/>
        </w:rPr>
        <w:t xml:space="preserve">), study group leader, </w:t>
      </w:r>
      <w:r w:rsidR="004E1EB7">
        <w:rPr>
          <w:lang w:val="en-GB"/>
        </w:rPr>
        <w:t>presented some of the information and analyses already included in the triennial report. T</w:t>
      </w:r>
      <w:r>
        <w:rPr>
          <w:lang w:val="en-GB"/>
        </w:rPr>
        <w:t>he</w:t>
      </w:r>
      <w:r w:rsidR="004E1EB7">
        <w:rPr>
          <w:lang w:val="en-GB"/>
        </w:rPr>
        <w:t xml:space="preserve"> current </w:t>
      </w:r>
      <w:r w:rsidR="00634475">
        <w:rPr>
          <w:lang w:val="en-GB"/>
        </w:rPr>
        <w:t>version</w:t>
      </w:r>
      <w:r w:rsidR="004E1EB7">
        <w:rPr>
          <w:lang w:val="en-GB"/>
        </w:rPr>
        <w:t xml:space="preserve"> defends the</w:t>
      </w:r>
      <w:r>
        <w:rPr>
          <w:lang w:val="en-GB"/>
        </w:rPr>
        <w:t xml:space="preserve"> </w:t>
      </w:r>
      <w:r w:rsidR="004E1EB7">
        <w:rPr>
          <w:lang w:val="en-GB"/>
        </w:rPr>
        <w:t xml:space="preserve">importance of </w:t>
      </w:r>
      <w:r w:rsidR="00634475">
        <w:rPr>
          <w:lang w:val="en-GB"/>
        </w:rPr>
        <w:t xml:space="preserve">a </w:t>
      </w:r>
      <w:r w:rsidR="004E1EB7">
        <w:rPr>
          <w:lang w:val="en-GB"/>
        </w:rPr>
        <w:t>reduced taxation</w:t>
      </w:r>
      <w:r>
        <w:rPr>
          <w:lang w:val="en-GB"/>
        </w:rPr>
        <w:t xml:space="preserve"> for the production of gas, as </w:t>
      </w:r>
      <w:r w:rsidR="00634475">
        <w:rPr>
          <w:lang w:val="en-GB"/>
        </w:rPr>
        <w:t xml:space="preserve">its </w:t>
      </w:r>
      <w:r>
        <w:rPr>
          <w:lang w:val="en-GB"/>
        </w:rPr>
        <w:t>prices are lower and the infrastructure required is more complex</w:t>
      </w:r>
      <w:r w:rsidR="004E1EB7">
        <w:rPr>
          <w:lang w:val="en-GB"/>
        </w:rPr>
        <w:t xml:space="preserve"> than the equivalent </w:t>
      </w:r>
      <w:r w:rsidR="004E1EB7">
        <w:rPr>
          <w:lang w:val="en-GB"/>
        </w:rPr>
        <w:t>for</w:t>
      </w:r>
      <w:r w:rsidR="004E1EB7">
        <w:rPr>
          <w:lang w:val="en-GB"/>
        </w:rPr>
        <w:t xml:space="preserve"> oil</w:t>
      </w:r>
      <w:r>
        <w:rPr>
          <w:lang w:val="en-GB"/>
        </w:rPr>
        <w:t xml:space="preserve">. Progressive taxation </w:t>
      </w:r>
      <w:r w:rsidR="00634475">
        <w:rPr>
          <w:lang w:val="en-GB"/>
        </w:rPr>
        <w:t>is also</w:t>
      </w:r>
      <w:r>
        <w:rPr>
          <w:lang w:val="en-GB"/>
        </w:rPr>
        <w:t xml:space="preserve"> defended in lieu of </w:t>
      </w:r>
      <w:r w:rsidR="00634475">
        <w:rPr>
          <w:lang w:val="en-GB"/>
        </w:rPr>
        <w:t xml:space="preserve">regressive </w:t>
      </w:r>
      <w:r w:rsidR="004E1EB7">
        <w:rPr>
          <w:lang w:val="en-GB"/>
        </w:rPr>
        <w:t xml:space="preserve">instruments such as </w:t>
      </w:r>
      <w:r>
        <w:rPr>
          <w:lang w:val="en-GB"/>
        </w:rPr>
        <w:t xml:space="preserve">signature bonuses and flat royalty rates, especially for the production of unconventional gas. </w:t>
      </w:r>
      <w:r w:rsidR="004E1EB7">
        <w:rPr>
          <w:lang w:val="en-GB"/>
        </w:rPr>
        <w:t xml:space="preserve">For better reasoning, it </w:t>
      </w:r>
      <w:r w:rsidR="00634475">
        <w:rPr>
          <w:lang w:val="en-GB"/>
        </w:rPr>
        <w:t xml:space="preserve">is </w:t>
      </w:r>
      <w:r w:rsidR="004E1EB7">
        <w:rPr>
          <w:lang w:val="en-GB"/>
        </w:rPr>
        <w:t xml:space="preserve">important to classify and quantify the final </w:t>
      </w:r>
      <w:r w:rsidR="00316EA5">
        <w:rPr>
          <w:lang w:val="en-GB"/>
        </w:rPr>
        <w:t>price</w:t>
      </w:r>
      <w:r w:rsidR="004E1EB7">
        <w:rPr>
          <w:lang w:val="en-GB"/>
        </w:rPr>
        <w:t xml:space="preserve"> paid by consumers</w:t>
      </w:r>
      <w:r w:rsidR="00634475">
        <w:rPr>
          <w:lang w:val="en-GB"/>
        </w:rPr>
        <w:t xml:space="preserve"> in</w:t>
      </w:r>
      <w:r w:rsidR="004E1EB7">
        <w:rPr>
          <w:lang w:val="en-GB"/>
        </w:rPr>
        <w:t xml:space="preserve"> downstream</w:t>
      </w:r>
      <w:r w:rsidR="00634475">
        <w:rPr>
          <w:lang w:val="en-GB"/>
        </w:rPr>
        <w:t xml:space="preserve"> and upstream</w:t>
      </w:r>
      <w:r w:rsidR="00316EA5">
        <w:rPr>
          <w:lang w:val="en-GB"/>
        </w:rPr>
        <w:t xml:space="preserve"> taxation</w:t>
      </w:r>
      <w:r w:rsidR="004E1EB7">
        <w:rPr>
          <w:lang w:val="en-GB"/>
        </w:rPr>
        <w:t xml:space="preserve">, distribution, </w:t>
      </w:r>
      <w:r w:rsidR="00634475">
        <w:rPr>
          <w:lang w:val="en-GB"/>
        </w:rPr>
        <w:t xml:space="preserve">storage, </w:t>
      </w:r>
      <w:r w:rsidR="004E1EB7">
        <w:rPr>
          <w:lang w:val="en-GB"/>
        </w:rPr>
        <w:t>transmission a</w:t>
      </w:r>
      <w:bookmarkStart w:id="1" w:name="_GoBack"/>
      <w:bookmarkEnd w:id="1"/>
      <w:r w:rsidR="004E1EB7">
        <w:rPr>
          <w:lang w:val="en-GB"/>
        </w:rPr>
        <w:t>nd production costs.</w:t>
      </w:r>
    </w:p>
    <w:p w:rsidR="00837C20" w:rsidRPr="00655B89" w:rsidRDefault="005F49EC" w:rsidP="00787F68">
      <w:pPr>
        <w:ind w:firstLine="708"/>
        <w:rPr>
          <w:lang w:val="en-US"/>
        </w:rPr>
      </w:pPr>
      <w:r>
        <w:rPr>
          <w:lang w:val="en-US"/>
        </w:rPr>
        <w:t>Delegates of this study group prepared three panel proposals for the next WGC, which will be forwarded the Coordination Committee after consolidation</w:t>
      </w:r>
      <w:r w:rsidR="00295495">
        <w:rPr>
          <w:lang w:val="en-US"/>
        </w:rPr>
        <w:t xml:space="preserve"> by the WOC 1 Secretariat</w:t>
      </w:r>
      <w:r>
        <w:rPr>
          <w:lang w:val="en-US"/>
        </w:rPr>
        <w:t xml:space="preserve">. </w:t>
      </w:r>
      <w:r w:rsidR="00837C20">
        <w:rPr>
          <w:lang w:val="en-US"/>
        </w:rPr>
        <w:t xml:space="preserve">For the next meeting </w:t>
      </w:r>
      <w:r w:rsidR="0024236E">
        <w:rPr>
          <w:lang w:val="en-US"/>
        </w:rPr>
        <w:t xml:space="preserve">a first complete draft of the triennial report is expected, including </w:t>
      </w:r>
      <w:r w:rsidR="00B52269">
        <w:rPr>
          <w:lang w:val="en-US"/>
        </w:rPr>
        <w:t>a presentation on the Iranian buy back system</w:t>
      </w:r>
      <w:r w:rsidR="00E564AF">
        <w:rPr>
          <w:lang w:val="en-US"/>
        </w:rPr>
        <w:t xml:space="preserve"> and </w:t>
      </w:r>
      <w:r w:rsidR="00295495">
        <w:rPr>
          <w:lang w:val="en-US"/>
        </w:rPr>
        <w:t>a</w:t>
      </w:r>
      <w:r w:rsidR="00E564AF">
        <w:rPr>
          <w:lang w:val="en-US"/>
        </w:rPr>
        <w:t xml:space="preserve"> consolidation of the best practices suggested</w:t>
      </w:r>
      <w:r w:rsidR="002921FD">
        <w:rPr>
          <w:lang w:val="en-US"/>
        </w:rPr>
        <w:t xml:space="preserve"> during this meeting</w:t>
      </w:r>
      <w:r w:rsidR="0024236E">
        <w:rPr>
          <w:lang w:val="en-US"/>
        </w:rPr>
        <w:t>.</w:t>
      </w:r>
      <w:r w:rsidR="0054204C">
        <w:rPr>
          <w:lang w:val="en-US"/>
        </w:rPr>
        <w:t xml:space="preserve"> </w:t>
      </w:r>
    </w:p>
    <w:p w:rsidR="00183DF0" w:rsidRDefault="00183DF0" w:rsidP="00957212">
      <w:pPr>
        <w:pStyle w:val="Ttulo1"/>
        <w:numPr>
          <w:ilvl w:val="0"/>
          <w:numId w:val="1"/>
        </w:numPr>
        <w:rPr>
          <w:lang w:val="en-US"/>
        </w:rPr>
      </w:pPr>
      <w:r>
        <w:rPr>
          <w:lang w:val="en-US"/>
        </w:rPr>
        <w:t>Joint end session</w:t>
      </w:r>
    </w:p>
    <w:p w:rsidR="00183DF0" w:rsidRDefault="00183DF0" w:rsidP="003428C4">
      <w:pPr>
        <w:ind w:firstLine="708"/>
        <w:rPr>
          <w:lang w:val="en-US"/>
        </w:rPr>
      </w:pPr>
      <w:r w:rsidRPr="00183DF0">
        <w:rPr>
          <w:b/>
          <w:lang w:val="en-US"/>
        </w:rPr>
        <w:t>Moham</w:t>
      </w:r>
      <w:r>
        <w:rPr>
          <w:b/>
          <w:lang w:val="en-US"/>
        </w:rPr>
        <w:t>me</w:t>
      </w:r>
      <w:r w:rsidRPr="00183DF0">
        <w:rPr>
          <w:b/>
          <w:lang w:val="en-US"/>
        </w:rPr>
        <w:t xml:space="preserve">d Reza </w:t>
      </w:r>
      <w:proofErr w:type="spellStart"/>
      <w:r w:rsidRPr="00183DF0">
        <w:rPr>
          <w:b/>
          <w:lang w:val="en-US"/>
        </w:rPr>
        <w:t>Yousef</w:t>
      </w:r>
      <w:r>
        <w:rPr>
          <w:b/>
          <w:lang w:val="en-US"/>
        </w:rPr>
        <w:t>y</w:t>
      </w:r>
      <w:r w:rsidRPr="00183DF0">
        <w:rPr>
          <w:b/>
          <w:lang w:val="en-US"/>
        </w:rPr>
        <w:t>pour</w:t>
      </w:r>
      <w:proofErr w:type="spellEnd"/>
      <w:r>
        <w:rPr>
          <w:lang w:val="en-US"/>
        </w:rPr>
        <w:t xml:space="preserve"> (NIGC) presented an</w:t>
      </w:r>
      <w:r w:rsidR="003428C4">
        <w:rPr>
          <w:lang w:val="en-US"/>
        </w:rPr>
        <w:t xml:space="preserve"> interesting</w:t>
      </w:r>
      <w:r>
        <w:rPr>
          <w:lang w:val="en-US"/>
        </w:rPr>
        <w:t xml:space="preserve"> outlook for natural gas in Iran</w:t>
      </w:r>
      <w:r w:rsidR="003428C4">
        <w:rPr>
          <w:lang w:val="en-US"/>
        </w:rPr>
        <w:t>. The country is listed among the top five reserve holders</w:t>
      </w:r>
      <w:r w:rsidR="00506081">
        <w:rPr>
          <w:lang w:val="en-US"/>
        </w:rPr>
        <w:t xml:space="preserve"> in the world</w:t>
      </w:r>
      <w:r w:rsidR="003428C4">
        <w:rPr>
          <w:lang w:val="en-US"/>
        </w:rPr>
        <w:t xml:space="preserve">, and natural gas accounts today for a little less than 70% of the fossil </w:t>
      </w:r>
      <w:r w:rsidR="00506081">
        <w:rPr>
          <w:lang w:val="en-US"/>
        </w:rPr>
        <w:t>energy</w:t>
      </w:r>
      <w:r w:rsidR="003428C4">
        <w:rPr>
          <w:lang w:val="en-US"/>
        </w:rPr>
        <w:t xml:space="preserve"> mix. Some underground gas storage and LNG projects are being </w:t>
      </w:r>
      <w:r w:rsidR="00A72BA7">
        <w:rPr>
          <w:lang w:val="en-US"/>
        </w:rPr>
        <w:t>pursued</w:t>
      </w:r>
      <w:r w:rsidR="003428C4">
        <w:rPr>
          <w:lang w:val="en-US"/>
        </w:rPr>
        <w:t xml:space="preserve">, and by 2016 </w:t>
      </w:r>
      <w:r w:rsidR="00C25E7B">
        <w:rPr>
          <w:lang w:val="en-US"/>
        </w:rPr>
        <w:t xml:space="preserve">total </w:t>
      </w:r>
      <w:r w:rsidR="003428C4">
        <w:rPr>
          <w:lang w:val="en-US"/>
        </w:rPr>
        <w:t>exportations of</w:t>
      </w:r>
      <w:r w:rsidR="00506081">
        <w:rPr>
          <w:lang w:val="en-US"/>
        </w:rPr>
        <w:t xml:space="preserve"> up to</w:t>
      </w:r>
      <w:r w:rsidR="0090016F">
        <w:rPr>
          <w:lang w:val="en-US"/>
        </w:rPr>
        <w:t xml:space="preserve"> </w:t>
      </w:r>
      <w:r w:rsidR="003428C4">
        <w:rPr>
          <w:lang w:val="en-US"/>
        </w:rPr>
        <w:t xml:space="preserve">45 </w:t>
      </w:r>
      <w:proofErr w:type="spellStart"/>
      <w:r w:rsidR="003428C4">
        <w:rPr>
          <w:lang w:val="en-US"/>
        </w:rPr>
        <w:t>bcm</w:t>
      </w:r>
      <w:proofErr w:type="spellEnd"/>
      <w:r w:rsidR="003428C4">
        <w:rPr>
          <w:lang w:val="en-US"/>
        </w:rPr>
        <w:t xml:space="preserve"> per year could</w:t>
      </w:r>
      <w:r w:rsidR="00A72BA7">
        <w:rPr>
          <w:lang w:val="en-US"/>
        </w:rPr>
        <w:t xml:space="preserve"> </w:t>
      </w:r>
      <w:r w:rsidR="003428C4">
        <w:rPr>
          <w:lang w:val="en-US"/>
        </w:rPr>
        <w:t>be possible.</w:t>
      </w:r>
    </w:p>
    <w:p w:rsidR="003428C4" w:rsidRPr="00183DF0" w:rsidRDefault="0090016F" w:rsidP="003428C4">
      <w:pPr>
        <w:ind w:firstLine="708"/>
        <w:rPr>
          <w:lang w:val="en-US"/>
        </w:rPr>
      </w:pPr>
      <w:r w:rsidRPr="0090016F">
        <w:rPr>
          <w:b/>
          <w:lang w:val="en-US"/>
        </w:rPr>
        <w:t>Michael Lee</w:t>
      </w:r>
      <w:r>
        <w:rPr>
          <w:lang w:val="en-US"/>
        </w:rPr>
        <w:t xml:space="preserve"> (</w:t>
      </w:r>
      <w:proofErr w:type="spellStart"/>
      <w:r>
        <w:rPr>
          <w:lang w:val="en-US"/>
        </w:rPr>
        <w:t>Kogas</w:t>
      </w:r>
      <w:proofErr w:type="spellEnd"/>
      <w:r>
        <w:rPr>
          <w:lang w:val="en-US"/>
        </w:rPr>
        <w:t xml:space="preserve">) described the venue and </w:t>
      </w:r>
      <w:proofErr w:type="spellStart"/>
      <w:r>
        <w:rPr>
          <w:lang w:val="en-US"/>
        </w:rPr>
        <w:t>programme</w:t>
      </w:r>
      <w:proofErr w:type="spellEnd"/>
      <w:r>
        <w:rPr>
          <w:lang w:val="en-US"/>
        </w:rPr>
        <w:t xml:space="preserve"> for the next committee meeting in South Korea, which will be a triple one with PGC A and PGC C. </w:t>
      </w:r>
      <w:r w:rsidR="00C25E7B">
        <w:rPr>
          <w:lang w:val="en-US"/>
        </w:rPr>
        <w:t>Because the</w:t>
      </w:r>
      <w:r>
        <w:rPr>
          <w:lang w:val="en-US"/>
        </w:rPr>
        <w:t xml:space="preserve"> dates </w:t>
      </w:r>
      <w:r w:rsidR="00C25E7B">
        <w:rPr>
          <w:lang w:val="en-US"/>
        </w:rPr>
        <w:t xml:space="preserve">originally </w:t>
      </w:r>
      <w:r>
        <w:rPr>
          <w:lang w:val="en-US"/>
        </w:rPr>
        <w:t>proposed</w:t>
      </w:r>
      <w:r w:rsidR="00C25E7B">
        <w:rPr>
          <w:lang w:val="en-US"/>
        </w:rPr>
        <w:t xml:space="preserve"> </w:t>
      </w:r>
      <w:r>
        <w:rPr>
          <w:lang w:val="en-US"/>
        </w:rPr>
        <w:t>coincide</w:t>
      </w:r>
      <w:r w:rsidR="00C25E7B">
        <w:rPr>
          <w:lang w:val="en-US"/>
        </w:rPr>
        <w:t>d</w:t>
      </w:r>
      <w:r>
        <w:rPr>
          <w:lang w:val="en-US"/>
        </w:rPr>
        <w:t xml:space="preserve"> with the Mardi Grass period, </w:t>
      </w:r>
      <w:r w:rsidR="00C25E7B">
        <w:rPr>
          <w:lang w:val="en-US"/>
        </w:rPr>
        <w:t>the meeting was postponed to</w:t>
      </w:r>
      <w:r>
        <w:rPr>
          <w:lang w:val="en-US"/>
        </w:rPr>
        <w:t xml:space="preserve"> 10-13 March 2014</w:t>
      </w:r>
      <w:r w:rsidR="00506081">
        <w:rPr>
          <w:lang w:val="en-US"/>
        </w:rPr>
        <w:t>, as some members had already made plans for their families</w:t>
      </w:r>
      <w:r>
        <w:rPr>
          <w:lang w:val="en-US"/>
        </w:rPr>
        <w:t>.</w:t>
      </w:r>
    </w:p>
    <w:p w:rsidR="00305388" w:rsidRDefault="00305388" w:rsidP="00957212">
      <w:pPr>
        <w:pStyle w:val="Ttulo1"/>
        <w:numPr>
          <w:ilvl w:val="0"/>
          <w:numId w:val="1"/>
        </w:numPr>
        <w:rPr>
          <w:lang w:val="en-US"/>
        </w:rPr>
      </w:pPr>
      <w:r>
        <w:rPr>
          <w:lang w:val="en-US"/>
        </w:rPr>
        <w:t xml:space="preserve">Technical </w:t>
      </w:r>
      <w:r w:rsidR="00D16204">
        <w:rPr>
          <w:lang w:val="en-US"/>
        </w:rPr>
        <w:t xml:space="preserve">visit and social </w:t>
      </w:r>
      <w:proofErr w:type="spellStart"/>
      <w:r w:rsidR="00D16204">
        <w:rPr>
          <w:lang w:val="en-US"/>
        </w:rPr>
        <w:t>programme</w:t>
      </w:r>
      <w:proofErr w:type="spellEnd"/>
    </w:p>
    <w:p w:rsidR="00B52269" w:rsidRPr="00B52269" w:rsidRDefault="00803D3A" w:rsidP="00FC0DFB">
      <w:pPr>
        <w:ind w:firstLine="708"/>
        <w:rPr>
          <w:lang w:val="en-US"/>
        </w:rPr>
      </w:pPr>
      <w:r>
        <w:rPr>
          <w:lang w:val="en-US"/>
        </w:rPr>
        <w:t xml:space="preserve">Delegates visited the </w:t>
      </w:r>
      <w:proofErr w:type="spellStart"/>
      <w:r>
        <w:rPr>
          <w:lang w:val="en-US"/>
        </w:rPr>
        <w:t>Kimanis</w:t>
      </w:r>
      <w:proofErr w:type="spellEnd"/>
      <w:r>
        <w:rPr>
          <w:lang w:val="en-US"/>
        </w:rPr>
        <w:t xml:space="preserve"> Power Plant</w:t>
      </w:r>
      <w:r w:rsidR="00D16204">
        <w:rPr>
          <w:lang w:val="en-US"/>
        </w:rPr>
        <w:t xml:space="preserve"> (KPP) </w:t>
      </w:r>
      <w:r>
        <w:rPr>
          <w:lang w:val="en-US"/>
        </w:rPr>
        <w:t>and the Sabah Oil and Gas Terminal</w:t>
      </w:r>
      <w:r w:rsidR="00D16204">
        <w:rPr>
          <w:lang w:val="en-US"/>
        </w:rPr>
        <w:t xml:space="preserve"> (SOGT).</w:t>
      </w:r>
      <w:r w:rsidR="00450482">
        <w:rPr>
          <w:lang w:val="en-US"/>
        </w:rPr>
        <w:t xml:space="preserve"> </w:t>
      </w:r>
      <w:r w:rsidR="00F36994">
        <w:rPr>
          <w:lang w:val="en-US"/>
        </w:rPr>
        <w:t xml:space="preserve">The </w:t>
      </w:r>
      <w:r w:rsidR="00D20458">
        <w:rPr>
          <w:lang w:val="en-US"/>
        </w:rPr>
        <w:t>former</w:t>
      </w:r>
      <w:r w:rsidR="00F36994">
        <w:rPr>
          <w:lang w:val="en-US"/>
        </w:rPr>
        <w:t xml:space="preserve"> is a</w:t>
      </w:r>
      <w:r w:rsidR="00FC0DFB">
        <w:rPr>
          <w:lang w:val="en-US"/>
        </w:rPr>
        <w:t xml:space="preserve"> 285 MW</w:t>
      </w:r>
      <w:r w:rsidR="00F36994">
        <w:rPr>
          <w:lang w:val="en-US"/>
        </w:rPr>
        <w:t xml:space="preserve"> combined cycle plant</w:t>
      </w:r>
      <w:r w:rsidR="00D20458">
        <w:rPr>
          <w:lang w:val="en-US"/>
        </w:rPr>
        <w:t xml:space="preserve"> </w:t>
      </w:r>
      <w:r w:rsidR="00450482">
        <w:rPr>
          <w:lang w:val="en-US"/>
        </w:rPr>
        <w:t xml:space="preserve">that was </w:t>
      </w:r>
      <w:r w:rsidR="00D20458">
        <w:rPr>
          <w:lang w:val="en-US"/>
        </w:rPr>
        <w:t xml:space="preserve">envisioned as an independent power producer </w:t>
      </w:r>
      <w:r w:rsidR="00A72BA7">
        <w:rPr>
          <w:lang w:val="en-US"/>
        </w:rPr>
        <w:t>to</w:t>
      </w:r>
      <w:r w:rsidR="00D20458">
        <w:rPr>
          <w:lang w:val="en-US"/>
        </w:rPr>
        <w:t xml:space="preserve"> </w:t>
      </w:r>
      <w:r w:rsidR="00450482">
        <w:rPr>
          <w:lang w:val="en-US"/>
        </w:rPr>
        <w:t>displace</w:t>
      </w:r>
      <w:r w:rsidR="00D20458">
        <w:rPr>
          <w:lang w:val="en-US"/>
        </w:rPr>
        <w:t xml:space="preserve"> expensive oil with clean natural gas</w:t>
      </w:r>
      <w:r w:rsidR="00FC0DFB">
        <w:rPr>
          <w:lang w:val="en-US"/>
        </w:rPr>
        <w:t>. The latter will receive and process</w:t>
      </w:r>
      <w:r w:rsidR="00DC4901">
        <w:rPr>
          <w:lang w:val="en-US"/>
        </w:rPr>
        <w:t xml:space="preserve"> 300,000 bpd of</w:t>
      </w:r>
      <w:r w:rsidR="00FC0DFB">
        <w:rPr>
          <w:lang w:val="en-US"/>
        </w:rPr>
        <w:t xml:space="preserve"> oil and </w:t>
      </w:r>
      <w:r w:rsidR="00DC4901">
        <w:rPr>
          <w:lang w:val="en-US"/>
        </w:rPr>
        <w:t>1</w:t>
      </w:r>
      <w:r w:rsidR="00D20458">
        <w:rPr>
          <w:lang w:val="en-US"/>
        </w:rPr>
        <w:t>.25</w:t>
      </w:r>
      <w:r w:rsidR="00DC4901">
        <w:rPr>
          <w:lang w:val="en-US"/>
        </w:rPr>
        <w:t xml:space="preserve"> </w:t>
      </w:r>
      <w:proofErr w:type="spellStart"/>
      <w:r w:rsidR="00DC4901">
        <w:rPr>
          <w:lang w:val="en-US"/>
        </w:rPr>
        <w:t>bcfd</w:t>
      </w:r>
      <w:proofErr w:type="spellEnd"/>
      <w:r w:rsidR="00DC4901">
        <w:rPr>
          <w:lang w:val="en-US"/>
        </w:rPr>
        <w:t xml:space="preserve"> of </w:t>
      </w:r>
      <w:r w:rsidR="00FC0DFB">
        <w:rPr>
          <w:lang w:val="en-US"/>
        </w:rPr>
        <w:t xml:space="preserve">gas </w:t>
      </w:r>
      <w:r w:rsidR="00DC4901">
        <w:rPr>
          <w:lang w:val="en-US"/>
        </w:rPr>
        <w:t xml:space="preserve">from offshore </w:t>
      </w:r>
      <w:r w:rsidR="00FC0DFB">
        <w:rPr>
          <w:lang w:val="en-US"/>
        </w:rPr>
        <w:t xml:space="preserve">resources </w:t>
      </w:r>
      <w:r w:rsidR="00DC4901">
        <w:rPr>
          <w:lang w:val="en-US"/>
        </w:rPr>
        <w:t>located in</w:t>
      </w:r>
      <w:r w:rsidR="00FC0DFB">
        <w:rPr>
          <w:lang w:val="en-US"/>
        </w:rPr>
        <w:t xml:space="preserve"> Sabah and Sarawak.</w:t>
      </w:r>
      <w:r w:rsidR="00CE05BD">
        <w:rPr>
          <w:lang w:val="en-US"/>
        </w:rPr>
        <w:t xml:space="preserve"> </w:t>
      </w:r>
      <w:r w:rsidR="00D20458">
        <w:rPr>
          <w:lang w:val="en-US"/>
        </w:rPr>
        <w:t xml:space="preserve">Both facilities are expected to be completed in 2014. </w:t>
      </w:r>
      <w:r w:rsidR="00CE05BD">
        <w:rPr>
          <w:lang w:val="en-US"/>
        </w:rPr>
        <w:t xml:space="preserve">Delegates also visited </w:t>
      </w:r>
      <w:proofErr w:type="spellStart"/>
      <w:r w:rsidR="00CE05BD">
        <w:rPr>
          <w:lang w:val="en-US"/>
        </w:rPr>
        <w:t>Kinabalu</w:t>
      </w:r>
      <w:proofErr w:type="spellEnd"/>
      <w:r w:rsidR="00CE05BD">
        <w:rPr>
          <w:lang w:val="en-US"/>
        </w:rPr>
        <w:t xml:space="preserve"> Park, where they could meet some of the outstanding biological </w:t>
      </w:r>
      <w:r w:rsidR="00D20458">
        <w:rPr>
          <w:lang w:val="en-US"/>
        </w:rPr>
        <w:t>species</w:t>
      </w:r>
      <w:r w:rsidR="00CE05BD">
        <w:rPr>
          <w:lang w:val="en-US"/>
        </w:rPr>
        <w:t xml:space="preserve"> that led U</w:t>
      </w:r>
      <w:r w:rsidR="00A72BA7">
        <w:rPr>
          <w:lang w:val="en-US"/>
        </w:rPr>
        <w:t>NESCO</w:t>
      </w:r>
      <w:r w:rsidR="00CE05BD">
        <w:rPr>
          <w:lang w:val="en-US"/>
        </w:rPr>
        <w:t xml:space="preserve"> to declare it a World Heritage Site in 2000.</w:t>
      </w:r>
    </w:p>
    <w:p w:rsidR="007237F8" w:rsidRPr="00491FE0" w:rsidRDefault="00957212" w:rsidP="00491FE0">
      <w:pPr>
        <w:pStyle w:val="Ttulo1"/>
        <w:numPr>
          <w:ilvl w:val="0"/>
          <w:numId w:val="1"/>
        </w:numPr>
        <w:rPr>
          <w:lang w:val="en-US"/>
        </w:rPr>
      </w:pPr>
      <w:r>
        <w:rPr>
          <w:lang w:val="en-US"/>
        </w:rPr>
        <w:t>Next meeting</w:t>
      </w:r>
    </w:p>
    <w:p w:rsidR="00BB71DC" w:rsidRDefault="00183DF0" w:rsidP="00803D3A">
      <w:pPr>
        <w:ind w:firstLine="708"/>
        <w:rPr>
          <w:lang w:val="en-US"/>
        </w:rPr>
      </w:pPr>
      <w:r>
        <w:rPr>
          <w:lang w:val="en-US"/>
        </w:rPr>
        <w:t>As the call for papers for the WGC is expected to remain open from February to September 2014, c</w:t>
      </w:r>
      <w:r w:rsidR="007237F8">
        <w:rPr>
          <w:lang w:val="en-US"/>
        </w:rPr>
        <w:t>ommittee members that are willing to submit contributions or invite speakers</w:t>
      </w:r>
      <w:r w:rsidR="00E8562B">
        <w:rPr>
          <w:lang w:val="en-US"/>
        </w:rPr>
        <w:t xml:space="preserve"> </w:t>
      </w:r>
      <w:r>
        <w:rPr>
          <w:lang w:val="en-US"/>
        </w:rPr>
        <w:t xml:space="preserve">must present their concrete proposals by the time of </w:t>
      </w:r>
      <w:r w:rsidR="00B36C85">
        <w:rPr>
          <w:lang w:val="en-US"/>
        </w:rPr>
        <w:t xml:space="preserve">the </w:t>
      </w:r>
      <w:r>
        <w:rPr>
          <w:lang w:val="en-US"/>
        </w:rPr>
        <w:t>next</w:t>
      </w:r>
      <w:r w:rsidR="00B36C85">
        <w:rPr>
          <w:lang w:val="en-US"/>
        </w:rPr>
        <w:t xml:space="preserve"> committee</w:t>
      </w:r>
      <w:r>
        <w:rPr>
          <w:lang w:val="en-US"/>
        </w:rPr>
        <w:t xml:space="preserve"> meeting </w:t>
      </w:r>
      <w:r w:rsidR="007F08BA">
        <w:rPr>
          <w:lang w:val="en-US"/>
        </w:rPr>
        <w:t xml:space="preserve">in </w:t>
      </w:r>
      <w:r>
        <w:rPr>
          <w:lang w:val="en-US"/>
        </w:rPr>
        <w:t>Seoul, 10-13 March 2014</w:t>
      </w:r>
      <w:r w:rsidR="007237F8">
        <w:rPr>
          <w:lang w:val="en-US"/>
        </w:rPr>
        <w:t>.</w:t>
      </w:r>
      <w:r w:rsidR="00491FE0">
        <w:rPr>
          <w:lang w:val="en-US"/>
        </w:rPr>
        <w:t xml:space="preserve"> Meanwhile, the Secretariat</w:t>
      </w:r>
      <w:r w:rsidR="00B36C85">
        <w:rPr>
          <w:lang w:val="en-US"/>
        </w:rPr>
        <w:t xml:space="preserve"> of WOC 1</w:t>
      </w:r>
      <w:r w:rsidR="00491FE0">
        <w:rPr>
          <w:lang w:val="en-US"/>
        </w:rPr>
        <w:t xml:space="preserve"> will forward the WGC themes </w:t>
      </w:r>
      <w:r w:rsidR="00AF68F3">
        <w:rPr>
          <w:lang w:val="en-US"/>
        </w:rPr>
        <w:t>proposed</w:t>
      </w:r>
      <w:r>
        <w:rPr>
          <w:lang w:val="en-US"/>
        </w:rPr>
        <w:t xml:space="preserve"> by the committee members </w:t>
      </w:r>
      <w:r w:rsidR="00491FE0">
        <w:rPr>
          <w:lang w:val="en-US"/>
        </w:rPr>
        <w:t>to the C</w:t>
      </w:r>
      <w:r>
        <w:rPr>
          <w:lang w:val="en-US"/>
        </w:rPr>
        <w:t>oordination Committee</w:t>
      </w:r>
      <w:r w:rsidR="00491FE0">
        <w:rPr>
          <w:lang w:val="en-US"/>
        </w:rPr>
        <w:t>.</w:t>
      </w:r>
    </w:p>
    <w:sectPr w:rsidR="00BB71DC">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58" w:rsidRDefault="00905B58" w:rsidP="003D398C">
      <w:pPr>
        <w:spacing w:after="0" w:line="240" w:lineRule="auto"/>
      </w:pPr>
      <w:r>
        <w:separator/>
      </w:r>
    </w:p>
  </w:endnote>
  <w:endnote w:type="continuationSeparator" w:id="0">
    <w:p w:rsidR="00905B58" w:rsidRDefault="00905B58" w:rsidP="003D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58" w:rsidRDefault="00905B58" w:rsidP="003D398C">
      <w:pPr>
        <w:spacing w:after="0" w:line="240" w:lineRule="auto"/>
      </w:pPr>
      <w:r>
        <w:separator/>
      </w:r>
    </w:p>
  </w:footnote>
  <w:footnote w:type="continuationSeparator" w:id="0">
    <w:p w:rsidR="00905B58" w:rsidRDefault="00905B58" w:rsidP="003D3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316EA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3390" o:spid="_x0000_s20482" type="#_x0000_t136" style="position:absolute;left:0;text-align:left;margin-left:0;margin-top:0;width:374.7pt;height:224.8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316EA5" w:rsidP="00DA7839">
    <w:pPr>
      <w:pStyle w:val="Cabealho"/>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3391" o:spid="_x0000_s20483" type="#_x0000_t136" style="position:absolute;margin-left:0;margin-top:0;width:374.7pt;height:224.8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313B0">
      <w:rPr>
        <w:noProof/>
        <w:lang w:val="en-GB"/>
      </w:rPr>
      <w:drawing>
        <wp:anchor distT="0" distB="0" distL="114300" distR="114300" simplePos="0" relativeHeight="251660288" behindDoc="1" locked="0" layoutInCell="1" allowOverlap="0" wp14:anchorId="00458A92" wp14:editId="06E1ADC1">
          <wp:simplePos x="0" y="0"/>
          <wp:positionH relativeFrom="page">
            <wp:posOffset>4829175</wp:posOffset>
          </wp:positionH>
          <wp:positionV relativeFrom="paragraph">
            <wp:posOffset>135255</wp:posOffset>
          </wp:positionV>
          <wp:extent cx="901065" cy="5334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152"/>
                  <a:stretch/>
                </pic:blipFill>
                <pic:spPr bwMode="auto">
                  <a:xfrm>
                    <a:off x="0" y="0"/>
                    <a:ext cx="90106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13B0">
      <w:rPr>
        <w:noProof/>
        <w:lang w:val="en-GB"/>
      </w:rPr>
      <w:drawing>
        <wp:anchor distT="0" distB="0" distL="114300" distR="114300" simplePos="0" relativeHeight="251659264" behindDoc="0" locked="0" layoutInCell="1" allowOverlap="1" wp14:anchorId="1AD366C3" wp14:editId="3B19F7AF">
          <wp:simplePos x="0" y="0"/>
          <wp:positionH relativeFrom="column">
            <wp:posOffset>4735830</wp:posOffset>
          </wp:positionH>
          <wp:positionV relativeFrom="paragraph">
            <wp:posOffset>-20320</wp:posOffset>
          </wp:positionV>
          <wp:extent cx="622300" cy="719455"/>
          <wp:effectExtent l="0" t="0" r="6350" b="4445"/>
          <wp:wrapSquare wrapText="right"/>
          <wp:docPr id="4" name="Imagem 4" descr="Description: Logo WGC GB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Logo WGC GB tra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3B0">
      <w:rPr>
        <w:noProof/>
        <w:lang w:val="en-GB"/>
      </w:rPr>
      <w:drawing>
        <wp:inline distT="0" distB="0" distL="0" distR="0" wp14:anchorId="6E3FCFA6" wp14:editId="210DF803">
          <wp:extent cx="715886" cy="720000"/>
          <wp:effectExtent l="0" t="0" r="825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 1 logo v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5886" cy="720000"/>
                  </a:xfrm>
                  <a:prstGeom prst="rect">
                    <a:avLst/>
                  </a:prstGeom>
                </pic:spPr>
              </pic:pic>
            </a:graphicData>
          </a:graphic>
        </wp:inline>
      </w:drawing>
    </w:r>
  </w:p>
  <w:p w:rsidR="00C313B0" w:rsidRDefault="00C313B0" w:rsidP="00DA7839">
    <w:pPr>
      <w:pStyle w:val="Cabealh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316EA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3389" o:spid="_x0000_s20481" type="#_x0000_t136" style="position:absolute;left:0;text-align:left;margin-left:0;margin-top:0;width:374.7pt;height:224.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F8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D207C"/>
    <w:multiLevelType w:val="hybridMultilevel"/>
    <w:tmpl w:val="F4502FF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9CE22FB"/>
    <w:multiLevelType w:val="hybridMultilevel"/>
    <w:tmpl w:val="7A64DCE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8E"/>
    <w:rsid w:val="0000477A"/>
    <w:rsid w:val="00022804"/>
    <w:rsid w:val="00022C8F"/>
    <w:rsid w:val="00033A09"/>
    <w:rsid w:val="0005144F"/>
    <w:rsid w:val="00055696"/>
    <w:rsid w:val="000560EC"/>
    <w:rsid w:val="0005627E"/>
    <w:rsid w:val="00061A3B"/>
    <w:rsid w:val="0006516D"/>
    <w:rsid w:val="00066AE6"/>
    <w:rsid w:val="0007146D"/>
    <w:rsid w:val="00071DF3"/>
    <w:rsid w:val="0009471C"/>
    <w:rsid w:val="000A03C6"/>
    <w:rsid w:val="000B5944"/>
    <w:rsid w:val="000C4446"/>
    <w:rsid w:val="000C7D0C"/>
    <w:rsid w:val="000D1894"/>
    <w:rsid w:val="000D2A0F"/>
    <w:rsid w:val="000D5353"/>
    <w:rsid w:val="000D6A85"/>
    <w:rsid w:val="00100A8C"/>
    <w:rsid w:val="00105599"/>
    <w:rsid w:val="00113EA5"/>
    <w:rsid w:val="00127330"/>
    <w:rsid w:val="00142B22"/>
    <w:rsid w:val="00150F4D"/>
    <w:rsid w:val="00153FD8"/>
    <w:rsid w:val="00155C8E"/>
    <w:rsid w:val="00165A85"/>
    <w:rsid w:val="0016667E"/>
    <w:rsid w:val="00170DD9"/>
    <w:rsid w:val="0018322D"/>
    <w:rsid w:val="00183DF0"/>
    <w:rsid w:val="001A016B"/>
    <w:rsid w:val="001A1A3C"/>
    <w:rsid w:val="001B10E6"/>
    <w:rsid w:val="001C4CC4"/>
    <w:rsid w:val="001D4F65"/>
    <w:rsid w:val="001D7724"/>
    <w:rsid w:val="001E4E6D"/>
    <w:rsid w:val="001F0B66"/>
    <w:rsid w:val="001F4093"/>
    <w:rsid w:val="001F452C"/>
    <w:rsid w:val="001F6DC9"/>
    <w:rsid w:val="002009FC"/>
    <w:rsid w:val="0024236E"/>
    <w:rsid w:val="002563F7"/>
    <w:rsid w:val="0026621A"/>
    <w:rsid w:val="00275716"/>
    <w:rsid w:val="002921FD"/>
    <w:rsid w:val="00295495"/>
    <w:rsid w:val="00296257"/>
    <w:rsid w:val="00297135"/>
    <w:rsid w:val="002A1246"/>
    <w:rsid w:val="002C267D"/>
    <w:rsid w:val="002D122D"/>
    <w:rsid w:val="002D38F4"/>
    <w:rsid w:val="002D70BE"/>
    <w:rsid w:val="002F124A"/>
    <w:rsid w:val="00305388"/>
    <w:rsid w:val="00316EA5"/>
    <w:rsid w:val="00321074"/>
    <w:rsid w:val="00334CE0"/>
    <w:rsid w:val="00340BE0"/>
    <w:rsid w:val="003428C4"/>
    <w:rsid w:val="0037203F"/>
    <w:rsid w:val="003768DF"/>
    <w:rsid w:val="00384054"/>
    <w:rsid w:val="0038434A"/>
    <w:rsid w:val="00384439"/>
    <w:rsid w:val="00385337"/>
    <w:rsid w:val="003A7227"/>
    <w:rsid w:val="003B38DF"/>
    <w:rsid w:val="003B690B"/>
    <w:rsid w:val="003D398C"/>
    <w:rsid w:val="003F0C09"/>
    <w:rsid w:val="003F253A"/>
    <w:rsid w:val="003F4DAF"/>
    <w:rsid w:val="004021DD"/>
    <w:rsid w:val="004102F8"/>
    <w:rsid w:val="004106CE"/>
    <w:rsid w:val="004141F1"/>
    <w:rsid w:val="00422981"/>
    <w:rsid w:val="00427FB3"/>
    <w:rsid w:val="00441C92"/>
    <w:rsid w:val="00450482"/>
    <w:rsid w:val="00450F51"/>
    <w:rsid w:val="00451A6B"/>
    <w:rsid w:val="00460E52"/>
    <w:rsid w:val="00471119"/>
    <w:rsid w:val="00472A7A"/>
    <w:rsid w:val="00473FD9"/>
    <w:rsid w:val="004845BE"/>
    <w:rsid w:val="00491FE0"/>
    <w:rsid w:val="004A2567"/>
    <w:rsid w:val="004C0825"/>
    <w:rsid w:val="004C72F8"/>
    <w:rsid w:val="004C7CA7"/>
    <w:rsid w:val="004E1EB7"/>
    <w:rsid w:val="004F1D63"/>
    <w:rsid w:val="004F4F64"/>
    <w:rsid w:val="004F6201"/>
    <w:rsid w:val="00506081"/>
    <w:rsid w:val="00510F9A"/>
    <w:rsid w:val="00517882"/>
    <w:rsid w:val="0052043B"/>
    <w:rsid w:val="00520788"/>
    <w:rsid w:val="00531648"/>
    <w:rsid w:val="0053268D"/>
    <w:rsid w:val="00533A56"/>
    <w:rsid w:val="0054204C"/>
    <w:rsid w:val="005736B5"/>
    <w:rsid w:val="00575F39"/>
    <w:rsid w:val="005763C7"/>
    <w:rsid w:val="00580DA4"/>
    <w:rsid w:val="005A362E"/>
    <w:rsid w:val="005A3D29"/>
    <w:rsid w:val="005A4CF4"/>
    <w:rsid w:val="005B4169"/>
    <w:rsid w:val="005C1AFF"/>
    <w:rsid w:val="005C73EF"/>
    <w:rsid w:val="005D5709"/>
    <w:rsid w:val="005E3ED5"/>
    <w:rsid w:val="005F4514"/>
    <w:rsid w:val="005F49EC"/>
    <w:rsid w:val="00600111"/>
    <w:rsid w:val="00602066"/>
    <w:rsid w:val="006164E0"/>
    <w:rsid w:val="006228E8"/>
    <w:rsid w:val="00634475"/>
    <w:rsid w:val="00637FEA"/>
    <w:rsid w:val="00642524"/>
    <w:rsid w:val="00651DA5"/>
    <w:rsid w:val="006526B9"/>
    <w:rsid w:val="00655B89"/>
    <w:rsid w:val="00673B98"/>
    <w:rsid w:val="0067452D"/>
    <w:rsid w:val="006906E6"/>
    <w:rsid w:val="00690F44"/>
    <w:rsid w:val="00693565"/>
    <w:rsid w:val="006979CB"/>
    <w:rsid w:val="006A0B4B"/>
    <w:rsid w:val="006B103F"/>
    <w:rsid w:val="006B7807"/>
    <w:rsid w:val="006D1B1D"/>
    <w:rsid w:val="006F0CB7"/>
    <w:rsid w:val="006F2D8B"/>
    <w:rsid w:val="006F566A"/>
    <w:rsid w:val="007025DA"/>
    <w:rsid w:val="007102C0"/>
    <w:rsid w:val="00712715"/>
    <w:rsid w:val="007233F4"/>
    <w:rsid w:val="00723598"/>
    <w:rsid w:val="007237F8"/>
    <w:rsid w:val="007274A9"/>
    <w:rsid w:val="00746EF3"/>
    <w:rsid w:val="00755977"/>
    <w:rsid w:val="00776FB6"/>
    <w:rsid w:val="00780E50"/>
    <w:rsid w:val="0078485F"/>
    <w:rsid w:val="00787F68"/>
    <w:rsid w:val="007A331E"/>
    <w:rsid w:val="007A78FB"/>
    <w:rsid w:val="007B1840"/>
    <w:rsid w:val="007B3AB1"/>
    <w:rsid w:val="007B62DC"/>
    <w:rsid w:val="007C35B8"/>
    <w:rsid w:val="007C3A6D"/>
    <w:rsid w:val="007D1589"/>
    <w:rsid w:val="007D2E91"/>
    <w:rsid w:val="007D79E2"/>
    <w:rsid w:val="007F08BA"/>
    <w:rsid w:val="007F0A45"/>
    <w:rsid w:val="007F4C80"/>
    <w:rsid w:val="007F74CD"/>
    <w:rsid w:val="00803D3A"/>
    <w:rsid w:val="00812B24"/>
    <w:rsid w:val="00817FC0"/>
    <w:rsid w:val="008209CF"/>
    <w:rsid w:val="00821FCA"/>
    <w:rsid w:val="00827E77"/>
    <w:rsid w:val="008321C6"/>
    <w:rsid w:val="00837337"/>
    <w:rsid w:val="00837C20"/>
    <w:rsid w:val="0085365C"/>
    <w:rsid w:val="008544CA"/>
    <w:rsid w:val="008606DF"/>
    <w:rsid w:val="00867B68"/>
    <w:rsid w:val="008718DB"/>
    <w:rsid w:val="00871EB9"/>
    <w:rsid w:val="00885C94"/>
    <w:rsid w:val="00886028"/>
    <w:rsid w:val="0089255C"/>
    <w:rsid w:val="00895D7A"/>
    <w:rsid w:val="00895FFC"/>
    <w:rsid w:val="008A79BC"/>
    <w:rsid w:val="008B07DC"/>
    <w:rsid w:val="008B3917"/>
    <w:rsid w:val="008B4551"/>
    <w:rsid w:val="008D25E8"/>
    <w:rsid w:val="008D3951"/>
    <w:rsid w:val="008E51EB"/>
    <w:rsid w:val="008F6292"/>
    <w:rsid w:val="0090016F"/>
    <w:rsid w:val="00903784"/>
    <w:rsid w:val="00905B58"/>
    <w:rsid w:val="00910D44"/>
    <w:rsid w:val="00913081"/>
    <w:rsid w:val="00916945"/>
    <w:rsid w:val="0092183D"/>
    <w:rsid w:val="00926F55"/>
    <w:rsid w:val="0093509F"/>
    <w:rsid w:val="00937BC2"/>
    <w:rsid w:val="00957212"/>
    <w:rsid w:val="0096206E"/>
    <w:rsid w:val="00972DAF"/>
    <w:rsid w:val="0097669A"/>
    <w:rsid w:val="00983629"/>
    <w:rsid w:val="009A38CB"/>
    <w:rsid w:val="009A4B8E"/>
    <w:rsid w:val="009A4EBB"/>
    <w:rsid w:val="009B132D"/>
    <w:rsid w:val="009B7D3F"/>
    <w:rsid w:val="009D165E"/>
    <w:rsid w:val="009D66B8"/>
    <w:rsid w:val="009E11F1"/>
    <w:rsid w:val="009E2BE2"/>
    <w:rsid w:val="009E2D26"/>
    <w:rsid w:val="009E540E"/>
    <w:rsid w:val="00A06B12"/>
    <w:rsid w:val="00A12B3D"/>
    <w:rsid w:val="00A25779"/>
    <w:rsid w:val="00A3315E"/>
    <w:rsid w:val="00A441C0"/>
    <w:rsid w:val="00A5190A"/>
    <w:rsid w:val="00A52F6B"/>
    <w:rsid w:val="00A64529"/>
    <w:rsid w:val="00A72BA7"/>
    <w:rsid w:val="00A779D5"/>
    <w:rsid w:val="00A833D5"/>
    <w:rsid w:val="00A83416"/>
    <w:rsid w:val="00A90507"/>
    <w:rsid w:val="00AA131D"/>
    <w:rsid w:val="00AC0573"/>
    <w:rsid w:val="00AC2399"/>
    <w:rsid w:val="00AC561E"/>
    <w:rsid w:val="00AD3E37"/>
    <w:rsid w:val="00AF1AC4"/>
    <w:rsid w:val="00AF68F3"/>
    <w:rsid w:val="00AF6ADC"/>
    <w:rsid w:val="00B220AC"/>
    <w:rsid w:val="00B25030"/>
    <w:rsid w:val="00B3644B"/>
    <w:rsid w:val="00B36C85"/>
    <w:rsid w:val="00B40FC9"/>
    <w:rsid w:val="00B52269"/>
    <w:rsid w:val="00B604B5"/>
    <w:rsid w:val="00B61F55"/>
    <w:rsid w:val="00B6354C"/>
    <w:rsid w:val="00B67DAC"/>
    <w:rsid w:val="00B776AA"/>
    <w:rsid w:val="00B8443B"/>
    <w:rsid w:val="00B90257"/>
    <w:rsid w:val="00B90B2D"/>
    <w:rsid w:val="00B922D6"/>
    <w:rsid w:val="00B978DD"/>
    <w:rsid w:val="00BA5066"/>
    <w:rsid w:val="00BA5C1C"/>
    <w:rsid w:val="00BB0A9A"/>
    <w:rsid w:val="00BB71DC"/>
    <w:rsid w:val="00BB7274"/>
    <w:rsid w:val="00BE2FFC"/>
    <w:rsid w:val="00C07AD7"/>
    <w:rsid w:val="00C12155"/>
    <w:rsid w:val="00C1655C"/>
    <w:rsid w:val="00C20988"/>
    <w:rsid w:val="00C25C34"/>
    <w:rsid w:val="00C25E7B"/>
    <w:rsid w:val="00C313B0"/>
    <w:rsid w:val="00C36251"/>
    <w:rsid w:val="00C41953"/>
    <w:rsid w:val="00C470DA"/>
    <w:rsid w:val="00C56FC9"/>
    <w:rsid w:val="00C772F2"/>
    <w:rsid w:val="00C840F0"/>
    <w:rsid w:val="00C86A5F"/>
    <w:rsid w:val="00C92B88"/>
    <w:rsid w:val="00C960D0"/>
    <w:rsid w:val="00CA4417"/>
    <w:rsid w:val="00CE05BD"/>
    <w:rsid w:val="00CE1E87"/>
    <w:rsid w:val="00CE4F37"/>
    <w:rsid w:val="00CF764F"/>
    <w:rsid w:val="00D05F46"/>
    <w:rsid w:val="00D16204"/>
    <w:rsid w:val="00D20458"/>
    <w:rsid w:val="00D23C76"/>
    <w:rsid w:val="00D25321"/>
    <w:rsid w:val="00D25622"/>
    <w:rsid w:val="00D3081D"/>
    <w:rsid w:val="00D464AC"/>
    <w:rsid w:val="00D511A2"/>
    <w:rsid w:val="00D56D43"/>
    <w:rsid w:val="00D57B32"/>
    <w:rsid w:val="00D61132"/>
    <w:rsid w:val="00D65AE3"/>
    <w:rsid w:val="00D741FE"/>
    <w:rsid w:val="00D82EFE"/>
    <w:rsid w:val="00D848CA"/>
    <w:rsid w:val="00D91BC7"/>
    <w:rsid w:val="00DA032A"/>
    <w:rsid w:val="00DA3EE4"/>
    <w:rsid w:val="00DA7839"/>
    <w:rsid w:val="00DC47BF"/>
    <w:rsid w:val="00DC4901"/>
    <w:rsid w:val="00DC53BF"/>
    <w:rsid w:val="00DC5766"/>
    <w:rsid w:val="00DD509E"/>
    <w:rsid w:val="00DD5F18"/>
    <w:rsid w:val="00DF445F"/>
    <w:rsid w:val="00DF5EFE"/>
    <w:rsid w:val="00DF63E4"/>
    <w:rsid w:val="00E1142E"/>
    <w:rsid w:val="00E1636B"/>
    <w:rsid w:val="00E30CA9"/>
    <w:rsid w:val="00E321A2"/>
    <w:rsid w:val="00E564AF"/>
    <w:rsid w:val="00E618DB"/>
    <w:rsid w:val="00E733C8"/>
    <w:rsid w:val="00E8324F"/>
    <w:rsid w:val="00E83FC2"/>
    <w:rsid w:val="00E8562B"/>
    <w:rsid w:val="00E91F77"/>
    <w:rsid w:val="00EB2973"/>
    <w:rsid w:val="00EC15A7"/>
    <w:rsid w:val="00ED1FD7"/>
    <w:rsid w:val="00EE157A"/>
    <w:rsid w:val="00EE3FB5"/>
    <w:rsid w:val="00EF15FA"/>
    <w:rsid w:val="00EF1C36"/>
    <w:rsid w:val="00EF574E"/>
    <w:rsid w:val="00F26899"/>
    <w:rsid w:val="00F26E25"/>
    <w:rsid w:val="00F310BC"/>
    <w:rsid w:val="00F36994"/>
    <w:rsid w:val="00F46C69"/>
    <w:rsid w:val="00F60188"/>
    <w:rsid w:val="00F65621"/>
    <w:rsid w:val="00F6734A"/>
    <w:rsid w:val="00F865F5"/>
    <w:rsid w:val="00F9641A"/>
    <w:rsid w:val="00FA1233"/>
    <w:rsid w:val="00FA389D"/>
    <w:rsid w:val="00FA6E20"/>
    <w:rsid w:val="00FB1E31"/>
    <w:rsid w:val="00FB23D3"/>
    <w:rsid w:val="00FB46C0"/>
    <w:rsid w:val="00FC0DFB"/>
    <w:rsid w:val="00FE1101"/>
    <w:rsid w:val="00FE1661"/>
    <w:rsid w:val="00FE5BF0"/>
    <w:rsid w:val="00FF51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36"/>
    <w:pPr>
      <w:jc w:val="both"/>
    </w:pPr>
  </w:style>
  <w:style w:type="paragraph" w:styleId="Ttulo1">
    <w:name w:val="heading 1"/>
    <w:basedOn w:val="Normal"/>
    <w:next w:val="Normal"/>
    <w:link w:val="Ttulo1Char"/>
    <w:uiPriority w:val="9"/>
    <w:qFormat/>
    <w:rsid w:val="003D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A1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3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98C"/>
    <w:rPr>
      <w:rFonts w:ascii="Tahoma" w:hAnsi="Tahoma" w:cs="Tahoma"/>
      <w:sz w:val="16"/>
      <w:szCs w:val="16"/>
    </w:rPr>
  </w:style>
  <w:style w:type="paragraph" w:styleId="Legenda">
    <w:name w:val="caption"/>
    <w:basedOn w:val="Normal"/>
    <w:next w:val="Normal"/>
    <w:uiPriority w:val="35"/>
    <w:unhideWhenUsed/>
    <w:qFormat/>
    <w:rsid w:val="003D398C"/>
    <w:pPr>
      <w:spacing w:line="240" w:lineRule="auto"/>
    </w:pPr>
    <w:rPr>
      <w:b/>
      <w:bCs/>
      <w:color w:val="4F81BD" w:themeColor="accent1"/>
      <w:sz w:val="18"/>
      <w:szCs w:val="18"/>
    </w:rPr>
  </w:style>
  <w:style w:type="character" w:customStyle="1" w:styleId="Ttulo1Char">
    <w:name w:val="Título 1 Char"/>
    <w:basedOn w:val="Fontepargpadro"/>
    <w:link w:val="Ttulo1"/>
    <w:uiPriority w:val="9"/>
    <w:rsid w:val="003D398C"/>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3D39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D398C"/>
  </w:style>
  <w:style w:type="paragraph" w:styleId="Rodap">
    <w:name w:val="footer"/>
    <w:basedOn w:val="Normal"/>
    <w:link w:val="RodapChar"/>
    <w:uiPriority w:val="99"/>
    <w:unhideWhenUsed/>
    <w:rsid w:val="003D398C"/>
    <w:pPr>
      <w:tabs>
        <w:tab w:val="center" w:pos="4419"/>
        <w:tab w:val="right" w:pos="8838"/>
      </w:tabs>
      <w:spacing w:after="0" w:line="240" w:lineRule="auto"/>
    </w:pPr>
  </w:style>
  <w:style w:type="character" w:customStyle="1" w:styleId="RodapChar">
    <w:name w:val="Rodapé Char"/>
    <w:basedOn w:val="Fontepargpadro"/>
    <w:link w:val="Rodap"/>
    <w:uiPriority w:val="99"/>
    <w:rsid w:val="003D398C"/>
  </w:style>
  <w:style w:type="paragraph" w:styleId="PargrafodaLista">
    <w:name w:val="List Paragraph"/>
    <w:basedOn w:val="Normal"/>
    <w:uiPriority w:val="34"/>
    <w:qFormat/>
    <w:rsid w:val="00127330"/>
    <w:pPr>
      <w:ind w:left="720"/>
      <w:contextualSpacing/>
    </w:pPr>
  </w:style>
  <w:style w:type="character" w:styleId="Hyperlink">
    <w:name w:val="Hyperlink"/>
    <w:basedOn w:val="Fontepargpadro"/>
    <w:uiPriority w:val="99"/>
    <w:unhideWhenUsed/>
    <w:rsid w:val="00B776AA"/>
    <w:rPr>
      <w:color w:val="0000FF" w:themeColor="hyperlink"/>
      <w:u w:val="single"/>
    </w:rPr>
  </w:style>
  <w:style w:type="character" w:customStyle="1" w:styleId="Ttulo2Char">
    <w:name w:val="Título 2 Char"/>
    <w:basedOn w:val="Fontepargpadro"/>
    <w:link w:val="Ttulo2"/>
    <w:uiPriority w:val="9"/>
    <w:rsid w:val="00AA13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36"/>
    <w:pPr>
      <w:jc w:val="both"/>
    </w:pPr>
  </w:style>
  <w:style w:type="paragraph" w:styleId="Ttulo1">
    <w:name w:val="heading 1"/>
    <w:basedOn w:val="Normal"/>
    <w:next w:val="Normal"/>
    <w:link w:val="Ttulo1Char"/>
    <w:uiPriority w:val="9"/>
    <w:qFormat/>
    <w:rsid w:val="003D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A1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3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98C"/>
    <w:rPr>
      <w:rFonts w:ascii="Tahoma" w:hAnsi="Tahoma" w:cs="Tahoma"/>
      <w:sz w:val="16"/>
      <w:szCs w:val="16"/>
    </w:rPr>
  </w:style>
  <w:style w:type="paragraph" w:styleId="Legenda">
    <w:name w:val="caption"/>
    <w:basedOn w:val="Normal"/>
    <w:next w:val="Normal"/>
    <w:uiPriority w:val="35"/>
    <w:unhideWhenUsed/>
    <w:qFormat/>
    <w:rsid w:val="003D398C"/>
    <w:pPr>
      <w:spacing w:line="240" w:lineRule="auto"/>
    </w:pPr>
    <w:rPr>
      <w:b/>
      <w:bCs/>
      <w:color w:val="4F81BD" w:themeColor="accent1"/>
      <w:sz w:val="18"/>
      <w:szCs w:val="18"/>
    </w:rPr>
  </w:style>
  <w:style w:type="character" w:customStyle="1" w:styleId="Ttulo1Char">
    <w:name w:val="Título 1 Char"/>
    <w:basedOn w:val="Fontepargpadro"/>
    <w:link w:val="Ttulo1"/>
    <w:uiPriority w:val="9"/>
    <w:rsid w:val="003D398C"/>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3D39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D398C"/>
  </w:style>
  <w:style w:type="paragraph" w:styleId="Rodap">
    <w:name w:val="footer"/>
    <w:basedOn w:val="Normal"/>
    <w:link w:val="RodapChar"/>
    <w:uiPriority w:val="99"/>
    <w:unhideWhenUsed/>
    <w:rsid w:val="003D398C"/>
    <w:pPr>
      <w:tabs>
        <w:tab w:val="center" w:pos="4419"/>
        <w:tab w:val="right" w:pos="8838"/>
      </w:tabs>
      <w:spacing w:after="0" w:line="240" w:lineRule="auto"/>
    </w:pPr>
  </w:style>
  <w:style w:type="character" w:customStyle="1" w:styleId="RodapChar">
    <w:name w:val="Rodapé Char"/>
    <w:basedOn w:val="Fontepargpadro"/>
    <w:link w:val="Rodap"/>
    <w:uiPriority w:val="99"/>
    <w:rsid w:val="003D398C"/>
  </w:style>
  <w:style w:type="paragraph" w:styleId="PargrafodaLista">
    <w:name w:val="List Paragraph"/>
    <w:basedOn w:val="Normal"/>
    <w:uiPriority w:val="34"/>
    <w:qFormat/>
    <w:rsid w:val="00127330"/>
    <w:pPr>
      <w:ind w:left="720"/>
      <w:contextualSpacing/>
    </w:pPr>
  </w:style>
  <w:style w:type="character" w:styleId="Hyperlink">
    <w:name w:val="Hyperlink"/>
    <w:basedOn w:val="Fontepargpadro"/>
    <w:uiPriority w:val="99"/>
    <w:unhideWhenUsed/>
    <w:rsid w:val="00B776AA"/>
    <w:rPr>
      <w:color w:val="0000FF" w:themeColor="hyperlink"/>
      <w:u w:val="single"/>
    </w:rPr>
  </w:style>
  <w:style w:type="character" w:customStyle="1" w:styleId="Ttulo2Char">
    <w:name w:val="Título 2 Char"/>
    <w:basedOn w:val="Fontepargpadro"/>
    <w:link w:val="Ttulo2"/>
    <w:uiPriority w:val="9"/>
    <w:rsid w:val="00AA13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ickri.petrobras.com.br/interg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gu.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7134-3399-4ADC-A2A2-38FD20FC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3453</TotalTime>
  <Pages>7</Pages>
  <Words>2778</Words>
  <Characters>15840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DE FREITAS SUGAYA</dc:creator>
  <cp:lastModifiedBy>Marcos de Freitas Sugaya</cp:lastModifiedBy>
  <cp:revision>95</cp:revision>
  <cp:lastPrinted>2013-03-07T11:59:00Z</cp:lastPrinted>
  <dcterms:created xsi:type="dcterms:W3CDTF">2013-03-05T10:10:00Z</dcterms:created>
  <dcterms:modified xsi:type="dcterms:W3CDTF">2013-10-09T14:13:00Z</dcterms:modified>
</cp:coreProperties>
</file>